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52EAF">
      <w:pPr>
        <w:pStyle w:val="4"/>
        <w:numPr>
          <w:ilvl w:val="0"/>
          <w:numId w:val="0"/>
        </w:numPr>
        <w:spacing w:before="100" w:after="100" w:line="240" w:lineRule="auto"/>
      </w:pPr>
      <w:bookmarkStart w:id="10" w:name="_GoBack"/>
      <w:bookmarkEnd w:id="10"/>
    </w:p>
    <w:p w14:paraId="664DB51F"/>
    <w:p w14:paraId="054A822F">
      <w:pPr>
        <w:rPr>
          <w:rFonts w:asciiTheme="majorEastAsia" w:hAnsiTheme="majorEastAsia" w:eastAsiaTheme="majorEastAsia" w:cstheme="majorEastAsia"/>
          <w:b/>
          <w:color w:val="0D0D0D"/>
          <w:kern w:val="0"/>
          <w:sz w:val="72"/>
          <w:szCs w:val="72"/>
          <w:lang w:bidi="ar"/>
        </w:rPr>
      </w:pPr>
      <w:bookmarkStart w:id="0" w:name="_Toc18235"/>
      <w:bookmarkStart w:id="1" w:name="_Toc23668"/>
      <w:r>
        <w:rPr>
          <w:rFonts w:hint="eastAsia"/>
        </w:rPr>
        <w:t xml:space="preserve">                             </w:t>
      </w:r>
      <w:r>
        <w:drawing>
          <wp:inline distT="0" distB="0" distL="114300" distR="114300">
            <wp:extent cx="1123950" cy="1019175"/>
            <wp:effectExtent l="0" t="0" r="0" b="0"/>
            <wp:docPr id="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3C5B7D10">
      <w:pPr>
        <w:jc w:val="center"/>
        <w:rPr>
          <w:rFonts w:asciiTheme="majorEastAsia" w:hAnsiTheme="majorEastAsia" w:eastAsiaTheme="majorEastAsia" w:cstheme="majorEastAsia"/>
          <w:b/>
          <w:color w:val="0D0D0D"/>
          <w:kern w:val="0"/>
          <w:sz w:val="72"/>
          <w:szCs w:val="72"/>
          <w:lang w:bidi="ar"/>
        </w:rPr>
      </w:pPr>
      <w:r>
        <w:rPr>
          <w:rFonts w:hint="eastAsia" w:asciiTheme="majorEastAsia" w:hAnsiTheme="majorEastAsia" w:eastAsiaTheme="majorEastAsia" w:cstheme="majorEastAsia"/>
          <w:b/>
          <w:color w:val="0D0D0D"/>
          <w:kern w:val="0"/>
          <w:sz w:val="72"/>
          <w:szCs w:val="72"/>
          <w:lang w:bidi="ar"/>
        </w:rPr>
        <w:t xml:space="preserve">中山大学 </w:t>
      </w:r>
    </w:p>
    <w:p w14:paraId="75234D01">
      <w:pPr>
        <w:jc w:val="center"/>
        <w:rPr>
          <w:rFonts w:asciiTheme="majorEastAsia" w:hAnsiTheme="majorEastAsia" w:eastAsiaTheme="majorEastAsia" w:cstheme="majorEastAsia"/>
          <w:b/>
          <w:color w:val="0D0D0D"/>
          <w:kern w:val="0"/>
          <w:sz w:val="72"/>
          <w:szCs w:val="72"/>
          <w:lang w:bidi="ar"/>
        </w:rPr>
      </w:pPr>
      <w:r>
        <w:rPr>
          <w:rFonts w:hint="eastAsia" w:asciiTheme="majorEastAsia" w:hAnsiTheme="majorEastAsia" w:eastAsiaTheme="majorEastAsia" w:cstheme="majorEastAsia"/>
          <w:b/>
          <w:color w:val="0D0D0D"/>
          <w:kern w:val="0"/>
          <w:sz w:val="72"/>
          <w:szCs w:val="72"/>
          <w:lang w:bidi="ar"/>
        </w:rPr>
        <w:t>国家助学贷款系统</w:t>
      </w:r>
    </w:p>
    <w:p w14:paraId="154AF406">
      <w:pPr>
        <w:jc w:val="center"/>
        <w:rPr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b/>
          <w:color w:val="0D0D0D"/>
          <w:kern w:val="0"/>
          <w:sz w:val="72"/>
          <w:szCs w:val="72"/>
          <w:lang w:bidi="ar"/>
        </w:rPr>
        <w:t>用户使用手册</w:t>
      </w:r>
    </w:p>
    <w:p w14:paraId="2CBA6769"/>
    <w:p w14:paraId="5A34F64B"/>
    <w:p w14:paraId="250A2C46"/>
    <w:p w14:paraId="5A357F67"/>
    <w:p w14:paraId="0E41A217"/>
    <w:p w14:paraId="2DF8111F">
      <w:pPr>
        <w:jc w:val="center"/>
        <w:rPr>
          <w:rFonts w:ascii="宋体" w:hAnsi="宋体" w:cs="宋体"/>
          <w:color w:val="0D0D0D"/>
          <w:kern w:val="0"/>
          <w:sz w:val="52"/>
          <w:szCs w:val="52"/>
          <w:lang w:bidi="ar"/>
        </w:rPr>
      </w:pPr>
      <w:r>
        <w:rPr>
          <w:rFonts w:hint="eastAsia" w:ascii="宋体" w:hAnsi="宋体" w:cs="宋体"/>
          <w:color w:val="0D0D0D"/>
          <w:kern w:val="0"/>
          <w:sz w:val="52"/>
          <w:szCs w:val="52"/>
          <w:lang w:bidi="ar"/>
        </w:rPr>
        <w:t>学生</w:t>
      </w:r>
    </w:p>
    <w:p w14:paraId="088A08AC"/>
    <w:p w14:paraId="6C73C574">
      <w:r>
        <w:rPr>
          <w:rFonts w:hint="eastAsia"/>
        </w:rPr>
        <w:t xml:space="preserve">    </w:t>
      </w:r>
    </w:p>
    <w:p w14:paraId="5941A3E7"/>
    <w:p w14:paraId="34025815"/>
    <w:p w14:paraId="1DE68C52">
      <w:pPr>
        <w:jc w:val="center"/>
        <w:rPr>
          <w:rFonts w:asciiTheme="minorHAnsi" w:hAnsiTheme="minorEastAsia" w:eastAsiaTheme="minorEastAsia" w:cstheme="minorEastAsia"/>
          <w:sz w:val="40"/>
          <w:szCs w:val="40"/>
        </w:rPr>
      </w:pPr>
      <w:r>
        <w:rPr>
          <w:rFonts w:hint="eastAsia" w:asciiTheme="minorHAnsi" w:hAnsiTheme="minorEastAsia" w:eastAsiaTheme="minorEastAsia" w:cstheme="minorEastAsia"/>
          <w:b/>
          <w:color w:val="0D0D0D"/>
          <w:kern w:val="0"/>
          <w:sz w:val="40"/>
          <w:szCs w:val="40"/>
          <w:lang w:bidi="ar"/>
        </w:rPr>
        <w:t>Version</w:t>
      </w:r>
      <w:r>
        <w:rPr>
          <w:rFonts w:hint="eastAsia" w:asciiTheme="minorHAnsi" w:hAnsiTheme="minorEastAsia" w:eastAsiaTheme="minorEastAsia" w:cstheme="minorEastAsia"/>
          <w:color w:val="333333"/>
          <w:sz w:val="40"/>
          <w:szCs w:val="40"/>
          <w:shd w:val="clear" w:color="auto" w:fill="FFFFFF"/>
        </w:rPr>
        <w:t>1.0.0_1</w:t>
      </w:r>
    </w:p>
    <w:p w14:paraId="06B8FE86"/>
    <w:p w14:paraId="0F7FEAA0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/>
          <w:b/>
          <w:bCs/>
          <w:kern w:val="44"/>
          <w:sz w:val="21"/>
          <w:szCs w:val="44"/>
        </w:rPr>
        <w:id w:val="147459510"/>
        <w15:color w:val="DBDBDB"/>
        <w:docPartObj>
          <w:docPartGallery w:val="Table of Contents"/>
          <w:docPartUnique/>
        </w:docPartObj>
      </w:sdtPr>
      <w:sdtEndPr>
        <w:rPr>
          <w:rFonts w:hint="eastAsia" w:ascii="Times New Roman" w:hAnsi="Times New Roman"/>
          <w:b/>
          <w:bCs/>
          <w:kern w:val="44"/>
          <w:sz w:val="44"/>
          <w:szCs w:val="44"/>
        </w:rPr>
      </w:sdtEndPr>
      <w:sdtContent>
        <w:p w14:paraId="0B689F12">
          <w:pPr>
            <w:spacing w:line="240" w:lineRule="auto"/>
            <w:jc w:val="center"/>
            <w:rPr>
              <w:sz w:val="28"/>
              <w:szCs w:val="28"/>
            </w:rPr>
          </w:pPr>
          <w:r>
            <w:rPr>
              <w:rFonts w:ascii="宋体" w:hAnsi="宋体"/>
              <w:sz w:val="28"/>
              <w:szCs w:val="28"/>
            </w:rPr>
            <w:t>目录</w:t>
          </w:r>
        </w:p>
        <w:p w14:paraId="7F625488">
          <w:pPr>
            <w:pStyle w:val="14"/>
            <w:tabs>
              <w:tab w:val="right" w:leader="dot" w:pos="8306"/>
            </w:tabs>
            <w:ind w:left="960"/>
          </w:pPr>
          <w:r>
            <w:rPr>
              <w:rFonts w:hint="eastAsia"/>
              <w:sz w:val="44"/>
              <w:szCs w:val="44"/>
            </w:rPr>
            <w:fldChar w:fldCharType="begin"/>
          </w:r>
          <w:r>
            <w:rPr>
              <w:rFonts w:hint="eastAsia"/>
              <w:sz w:val="44"/>
              <w:szCs w:val="44"/>
            </w:rPr>
            <w:instrText xml:space="preserve">TOC \o "1-3" \h \u </w:instrText>
          </w:r>
          <w:r>
            <w:rPr>
              <w:rFonts w:hint="eastAsia"/>
              <w:sz w:val="44"/>
              <w:szCs w:val="44"/>
            </w:rPr>
            <w:fldChar w:fldCharType="separate"/>
          </w:r>
          <w:r>
            <w:fldChar w:fldCharType="begin"/>
          </w:r>
          <w:r>
            <w:instrText xml:space="preserve"> HYPERLINK \l "_Toc4650" </w:instrText>
          </w:r>
          <w:r>
            <w:fldChar w:fldCharType="separate"/>
          </w:r>
          <w:r>
            <w:rPr>
              <w:rFonts w:hint="eastAsia"/>
            </w:rPr>
            <w:t>1.1.1 学生（pc端）</w:t>
          </w:r>
          <w:r>
            <w:tab/>
          </w:r>
          <w:r>
            <w:fldChar w:fldCharType="begin"/>
          </w:r>
          <w:r>
            <w:instrText xml:space="preserve"> PAGEREF _Toc4650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42C0B9FB">
          <w:pPr>
            <w:pStyle w:val="4"/>
            <w:numPr>
              <w:ilvl w:val="0"/>
              <w:numId w:val="0"/>
            </w:numPr>
            <w:spacing w:before="100" w:after="100" w:line="240" w:lineRule="auto"/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/>
            </w:rPr>
            <w:fldChar w:fldCharType="end"/>
          </w:r>
        </w:p>
      </w:sdtContent>
    </w:sdt>
    <w:p w14:paraId="0CCD849A"/>
    <w:p w14:paraId="384A568A">
      <w:pPr>
        <w:pStyle w:val="6"/>
      </w:pPr>
      <w:bookmarkStart w:id="2" w:name="_Toc4650"/>
      <w:r>
        <w:rPr>
          <w:rFonts w:hint="eastAsia"/>
        </w:rPr>
        <w:t>学生（pc端）</w:t>
      </w:r>
      <w:bookmarkEnd w:id="2"/>
    </w:p>
    <w:p w14:paraId="13869F73">
      <w:pPr>
        <w:pStyle w:val="7"/>
      </w:pPr>
      <w:r>
        <w:rPr>
          <w:rFonts w:hint="eastAsia"/>
        </w:rPr>
        <w:t>办理助学贷款</w:t>
      </w:r>
    </w:p>
    <w:p w14:paraId="77B37291">
      <w:pPr>
        <w:ind w:firstLine="480" w:firstLineChars="200"/>
        <w:rPr>
          <w:rFonts w:ascii="宋体" w:hAnsi="宋体" w:cs="宋体"/>
          <w:szCs w:val="21"/>
        </w:rPr>
      </w:pPr>
      <w:bookmarkStart w:id="3" w:name="_Toc22074"/>
      <w:bookmarkStart w:id="4" w:name="_Toc18709"/>
      <w:r>
        <w:rPr>
          <w:rFonts w:hint="eastAsia" w:asciiTheme="minorEastAsia" w:hAnsiTheme="minorEastAsia" w:eastAsiaTheme="minorEastAsia"/>
          <w:szCs w:val="21"/>
        </w:rPr>
        <w:t>登录助学贷款模块后，在主页中点击“办理助学贷款”菜单栏，即可进入办理审核主界面，工作卡片展示已办理的各个工作内容，包括时间和材料说明，如图1所示：</w:t>
      </w:r>
      <w:bookmarkEnd w:id="3"/>
      <w:bookmarkEnd w:id="4"/>
    </w:p>
    <w:p w14:paraId="673DDF31">
      <w:pPr>
        <w:jc w:val="center"/>
        <w:rPr>
          <w:rFonts w:ascii="宋体" w:hAnsi="宋体" w:cs="宋体"/>
          <w:szCs w:val="21"/>
        </w:rPr>
      </w:pPr>
      <w:r>
        <w:drawing>
          <wp:inline distT="0" distB="0" distL="114300" distR="114300">
            <wp:extent cx="5259070" cy="2637790"/>
            <wp:effectExtent l="0" t="0" r="17780" b="10160"/>
            <wp:docPr id="9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191AB">
      <w:pPr>
        <w:jc w:val="center"/>
        <w:rPr>
          <w:rFonts w:ascii="宋体" w:hAnsi="宋体" w:cs="宋体"/>
          <w:sz w:val="18"/>
          <w:szCs w:val="18"/>
        </w:rPr>
      </w:pPr>
      <w:bookmarkStart w:id="5" w:name="_Toc9175"/>
      <w:bookmarkStart w:id="6" w:name="_Toc18995"/>
      <w:r>
        <w:rPr>
          <w:rFonts w:hint="eastAsia" w:ascii="宋体" w:hAnsi="宋体" w:cs="宋体"/>
          <w:sz w:val="18"/>
          <w:szCs w:val="18"/>
        </w:rPr>
        <w:t>图1-</w:t>
      </w:r>
      <w:bookmarkEnd w:id="5"/>
      <w:bookmarkEnd w:id="6"/>
      <w:r>
        <w:rPr>
          <w:rFonts w:hint="eastAsia" w:ascii="宋体" w:hAnsi="宋体" w:cs="宋体"/>
          <w:sz w:val="18"/>
          <w:szCs w:val="18"/>
        </w:rPr>
        <w:t>办理助学贷款界面</w:t>
      </w:r>
    </w:p>
    <w:p w14:paraId="009F70CB">
      <w:pPr>
        <w:pStyle w:val="8"/>
      </w:pPr>
      <w:r>
        <w:rPr>
          <w:rFonts w:hint="eastAsia"/>
        </w:rPr>
        <w:t>开始办理</w:t>
      </w:r>
    </w:p>
    <w:p w14:paraId="4686FC01">
      <w:pPr>
        <w:ind w:firstLine="480" w:firstLineChars="200"/>
      </w:pPr>
      <w:r>
        <w:rPr>
          <w:rFonts w:hint="eastAsia"/>
        </w:rPr>
        <w:t>点击“办理助学贷款”按钮进入办理页面进行办理。</w:t>
      </w:r>
    </w:p>
    <w:p w14:paraId="76E943E6">
      <w:r>
        <w:drawing>
          <wp:inline distT="0" distB="0" distL="114300" distR="114300">
            <wp:extent cx="5259070" cy="1320165"/>
            <wp:effectExtent l="0" t="0" r="17780" b="13335"/>
            <wp:docPr id="94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C044E"/>
    <w:p w14:paraId="204ACA92">
      <w:pPr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图2-开始办理界面</w:t>
      </w:r>
    </w:p>
    <w:p w14:paraId="1157E1C8">
      <w:pPr>
        <w:jc w:val="left"/>
        <w:rPr>
          <w:rFonts w:ascii="宋体" w:hAnsi="宋体" w:cs="宋体"/>
          <w:szCs w:val="21"/>
        </w:rPr>
      </w:pPr>
    </w:p>
    <w:p w14:paraId="1B40F042">
      <w:pPr>
        <w:pStyle w:val="8"/>
      </w:pPr>
      <w:r>
        <w:rPr>
          <w:rFonts w:hint="eastAsia"/>
        </w:rPr>
        <w:t>国家开发银行办理</w:t>
      </w:r>
    </w:p>
    <w:p w14:paraId="6442BCF0">
      <w:pPr>
        <w:widowControl w:val="0"/>
        <w:ind w:firstLine="480" w:firstLineChars="200"/>
      </w:pPr>
      <w:r>
        <w:rPr>
          <w:rFonts w:hint="eastAsia"/>
        </w:rPr>
        <w:t>选择“国家开发银行”，点击“开始办理”进入办理详情页，根据个人情况填写助学贷款办理信息，贷款金额合计自动生成，未贷款学费金额和贷款生活费金额之和，确认无误后点击“确认”即可提交。</w:t>
      </w:r>
      <w:r>
        <w:rPr>
          <w:rFonts w:hint="eastAsia"/>
          <w:color w:val="FF0000"/>
        </w:rPr>
        <w:t>请准确填写回执验证码（回执校验码）！！！</w:t>
      </w:r>
    </w:p>
    <w:p w14:paraId="6C708AAC">
      <w:pPr>
        <w:jc w:val="center"/>
      </w:pPr>
    </w:p>
    <w:p w14:paraId="168CC2F3">
      <w:pPr>
        <w:pStyle w:val="2"/>
        <w:ind w:firstLine="240"/>
      </w:pPr>
      <w:r>
        <w:drawing>
          <wp:inline distT="0" distB="0" distL="114300" distR="114300">
            <wp:extent cx="5266690" cy="2610485"/>
            <wp:effectExtent l="0" t="0" r="1016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468EA">
      <w:pPr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图3-国家开发银行办理界面</w:t>
      </w:r>
    </w:p>
    <w:p w14:paraId="6B2DB7CF">
      <w:pPr>
        <w:pStyle w:val="8"/>
      </w:pPr>
      <w:r>
        <w:rPr>
          <w:rFonts w:hint="eastAsia"/>
        </w:rPr>
        <w:t>其他经办银行办理</w:t>
      </w:r>
    </w:p>
    <w:p w14:paraId="0975F444">
      <w:pPr>
        <w:widowControl w:val="0"/>
        <w:ind w:firstLine="480" w:firstLineChars="200"/>
      </w:pPr>
      <w:r>
        <w:rPr>
          <w:rFonts w:hint="eastAsia"/>
        </w:rPr>
        <w:t>选择“其他经办银行”，点击“开始办理”进入办理详情页，根据个人情况填写助学贷款办理信息，贷款金额合计自动生成，未贷款学费金额和贷款生活费金额之和，确认无误后点击“确认”即可提交。</w:t>
      </w:r>
    </w:p>
    <w:p w14:paraId="5E0EF830">
      <w:r>
        <w:drawing>
          <wp:inline distT="0" distB="0" distL="114300" distR="114300">
            <wp:extent cx="5271770" cy="3747770"/>
            <wp:effectExtent l="0" t="0" r="508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F6605">
      <w:pPr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图4-其他经办银行办理界面</w:t>
      </w:r>
    </w:p>
    <w:p w14:paraId="57F2DE81">
      <w:pPr>
        <w:pStyle w:val="8"/>
      </w:pPr>
      <w:r>
        <w:rPr>
          <w:rFonts w:hint="eastAsia"/>
        </w:rPr>
        <w:t>办理进度查看</w:t>
      </w:r>
    </w:p>
    <w:p w14:paraId="3245A335">
      <w:pPr>
        <w:ind w:firstLine="420"/>
      </w:pPr>
      <w:r>
        <w:rPr>
          <w:rFonts w:hint="eastAsia"/>
        </w:rPr>
        <w:t>提交后等待培养单位与学校审核，可以点击“查看详情”在线查看办理进度与提交的内容详情，审核完成后可查看办理结果。</w:t>
      </w:r>
    </w:p>
    <w:p w14:paraId="7DF2B322">
      <w:r>
        <w:drawing>
          <wp:inline distT="0" distB="0" distL="114300" distR="114300">
            <wp:extent cx="5269865" cy="2480945"/>
            <wp:effectExtent l="0" t="0" r="698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81BBA">
      <w:pPr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图5-办理进度查看界面</w:t>
      </w:r>
    </w:p>
    <w:p w14:paraId="2C158E97"/>
    <w:p w14:paraId="61ECF136">
      <w:pPr>
        <w:pStyle w:val="8"/>
      </w:pPr>
      <w:bookmarkStart w:id="7" w:name="_Toc20161"/>
      <w:r>
        <w:rPr>
          <w:rFonts w:hint="eastAsia"/>
        </w:rPr>
        <w:t>审核不通过（回退）</w:t>
      </w:r>
      <w:bookmarkEnd w:id="7"/>
    </w:p>
    <w:p w14:paraId="5AD929D1">
      <w:pPr>
        <w:widowControl w:val="0"/>
        <w:ind w:firstLine="480" w:firstLineChars="200"/>
      </w:pPr>
      <w:r>
        <w:rPr>
          <w:rFonts w:hint="eastAsia"/>
        </w:rPr>
        <w:t>若提交审核被退回，可点击“重新办理”，重新办理会保留原先填写的数据内容，修改后重新提交审核即可。</w:t>
      </w:r>
    </w:p>
    <w:p w14:paraId="5A460D63">
      <w:r>
        <w:drawing>
          <wp:inline distT="0" distB="0" distL="114300" distR="114300">
            <wp:extent cx="5270500" cy="2411095"/>
            <wp:effectExtent l="0" t="0" r="6350" b="8255"/>
            <wp:docPr id="94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A1EF2">
      <w:pPr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图6-回退界面</w:t>
      </w:r>
    </w:p>
    <w:p w14:paraId="065C657E">
      <w:pPr>
        <w:pStyle w:val="7"/>
      </w:pPr>
      <w:bookmarkStart w:id="8" w:name="_Toc23978"/>
      <w:r>
        <w:rPr>
          <w:rFonts w:hint="eastAsia"/>
        </w:rPr>
        <w:t>助学贷款记录</w:t>
      </w:r>
      <w:bookmarkEnd w:id="8"/>
    </w:p>
    <w:p w14:paraId="63BB9C8A">
      <w:pPr>
        <w:widowControl w:val="0"/>
        <w:ind w:firstLine="480" w:firstLineChars="200"/>
      </w:pPr>
      <w:r>
        <w:rPr>
          <w:rFonts w:hint="eastAsia" w:asciiTheme="minorEastAsia" w:hAnsiTheme="minorEastAsia" w:eastAsiaTheme="minorEastAsia"/>
          <w:szCs w:val="21"/>
        </w:rPr>
        <w:t>点击“助学贷款记录”菜单栏，即可进入申请记录页面，工作卡片展示已办理的各个工作内容，具体内容字段根据申请的是国家开发银行办理/非国家开发银行办理内容展示，如图所示：</w:t>
      </w:r>
    </w:p>
    <w:p w14:paraId="4EB8DDD5">
      <w:r>
        <w:drawing>
          <wp:inline distT="0" distB="0" distL="114300" distR="114300">
            <wp:extent cx="5486400" cy="3905250"/>
            <wp:effectExtent l="0" t="0" r="0" b="0"/>
            <wp:docPr id="95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493D7">
      <w:pPr>
        <w:jc w:val="center"/>
      </w:pPr>
      <w:r>
        <w:rPr>
          <w:rFonts w:hint="eastAsia" w:ascii="宋体" w:hAnsi="宋体" w:cs="宋体"/>
          <w:sz w:val="18"/>
          <w:szCs w:val="18"/>
        </w:rPr>
        <w:t>图1-助学贷款记录界面</w:t>
      </w:r>
    </w:p>
    <w:p w14:paraId="09CCBC2A">
      <w:pPr>
        <w:pStyle w:val="8"/>
      </w:pPr>
      <w:bookmarkStart w:id="9" w:name="_Toc21871"/>
      <w:r>
        <w:rPr>
          <w:rFonts w:hint="eastAsia"/>
        </w:rPr>
        <w:t>查看详情</w:t>
      </w:r>
      <w:bookmarkEnd w:id="9"/>
    </w:p>
    <w:p w14:paraId="11875906">
      <w:pPr>
        <w:widowControl w:val="0"/>
        <w:ind w:firstLine="480" w:firstLineChars="200"/>
      </w:pPr>
      <w:r>
        <w:rPr>
          <w:rFonts w:hint="eastAsia"/>
        </w:rPr>
        <w:t>点击“查看详情”，可查看办理进度，如图：</w:t>
      </w:r>
    </w:p>
    <w:p w14:paraId="4F19ACBC">
      <w:r>
        <w:drawing>
          <wp:inline distT="0" distB="0" distL="114300" distR="114300">
            <wp:extent cx="5273040" cy="3028315"/>
            <wp:effectExtent l="0" t="0" r="381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9427F">
      <w:pPr>
        <w:jc w:val="center"/>
        <w:rPr>
          <w:i/>
          <w:iCs/>
          <w:sz w:val="28"/>
          <w:szCs w:val="28"/>
        </w:rPr>
      </w:pPr>
      <w:r>
        <w:rPr>
          <w:rFonts w:hint="eastAsia" w:ascii="宋体" w:hAnsi="宋体" w:cs="宋体"/>
          <w:sz w:val="18"/>
          <w:szCs w:val="18"/>
        </w:rPr>
        <w:t>图2-查看详情界面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A80EB3"/>
    <w:multiLevelType w:val="multilevel"/>
    <w:tmpl w:val="66A80EB3"/>
    <w:lvl w:ilvl="0" w:tentative="0">
      <w:start w:val="1"/>
      <w:numFmt w:val="decimal"/>
      <w:pStyle w:val="4"/>
      <w:lvlText w:val="%1"/>
      <w:lvlJc w:val="left"/>
      <w:pPr>
        <w:ind w:left="574" w:hanging="432"/>
      </w:pPr>
      <w:rPr>
        <w:rFonts w:hint="eastAsia"/>
      </w:rPr>
    </w:lvl>
    <w:lvl w:ilvl="1" w:tentative="0">
      <w:start w:val="1"/>
      <w:numFmt w:val="decimal"/>
      <w:pStyle w:val="5"/>
      <w:lvlText w:val="%1.%2"/>
      <w:lvlJc w:val="left"/>
      <w:pPr>
        <w:ind w:left="1143" w:hanging="576"/>
      </w:pPr>
      <w:rPr>
        <w:rFonts w:hint="eastAsia"/>
      </w:rPr>
    </w:lvl>
    <w:lvl w:ilvl="2" w:tentative="0">
      <w:start w:val="1"/>
      <w:numFmt w:val="decimal"/>
      <w:pStyle w:val="6"/>
      <w:lvlText w:val="%1.%2.%3"/>
      <w:lvlJc w:val="left"/>
      <w:pPr>
        <w:ind w:left="720" w:hanging="7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7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8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none"/>
      <w:lvlRestart w:val="0"/>
      <w:pStyle w:val="9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6" w:tentative="0">
      <w:start w:val="1"/>
      <w:numFmt w:val="decimal"/>
      <w:pStyle w:val="10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wZWYzZDM1NmE3M2QyOTNhOGY3MzIwYWRkNzcxNmEifQ=="/>
  </w:docVars>
  <w:rsids>
    <w:rsidRoot w:val="008E6A72"/>
    <w:rsid w:val="0001416A"/>
    <w:rsid w:val="000606B8"/>
    <w:rsid w:val="00090296"/>
    <w:rsid w:val="000B46C9"/>
    <w:rsid w:val="000F51FA"/>
    <w:rsid w:val="00101612"/>
    <w:rsid w:val="00121BA8"/>
    <w:rsid w:val="001D1FB6"/>
    <w:rsid w:val="001E76E7"/>
    <w:rsid w:val="00222FB4"/>
    <w:rsid w:val="00227F92"/>
    <w:rsid w:val="00271302"/>
    <w:rsid w:val="002A220D"/>
    <w:rsid w:val="002F1C36"/>
    <w:rsid w:val="00323C62"/>
    <w:rsid w:val="003A5EEE"/>
    <w:rsid w:val="003A6CF9"/>
    <w:rsid w:val="003B2E7F"/>
    <w:rsid w:val="003D147E"/>
    <w:rsid w:val="003D3894"/>
    <w:rsid w:val="003F302E"/>
    <w:rsid w:val="00400F5E"/>
    <w:rsid w:val="00460C5D"/>
    <w:rsid w:val="004F6237"/>
    <w:rsid w:val="00504671"/>
    <w:rsid w:val="00515B67"/>
    <w:rsid w:val="00534B8C"/>
    <w:rsid w:val="0057448E"/>
    <w:rsid w:val="00575C2F"/>
    <w:rsid w:val="00594C67"/>
    <w:rsid w:val="005B0C69"/>
    <w:rsid w:val="00654D77"/>
    <w:rsid w:val="00656F63"/>
    <w:rsid w:val="006609B7"/>
    <w:rsid w:val="00661D86"/>
    <w:rsid w:val="006B1E06"/>
    <w:rsid w:val="0076203C"/>
    <w:rsid w:val="007C4438"/>
    <w:rsid w:val="007F24E1"/>
    <w:rsid w:val="00813A1F"/>
    <w:rsid w:val="0082576F"/>
    <w:rsid w:val="008C3EBC"/>
    <w:rsid w:val="008E6A72"/>
    <w:rsid w:val="00981759"/>
    <w:rsid w:val="009A50AC"/>
    <w:rsid w:val="00A034AD"/>
    <w:rsid w:val="00A177B0"/>
    <w:rsid w:val="00AC7A95"/>
    <w:rsid w:val="00AE40F1"/>
    <w:rsid w:val="00B37303"/>
    <w:rsid w:val="00B73937"/>
    <w:rsid w:val="00BC75F1"/>
    <w:rsid w:val="00C02C49"/>
    <w:rsid w:val="00CE4B32"/>
    <w:rsid w:val="00D04BBE"/>
    <w:rsid w:val="00D37B20"/>
    <w:rsid w:val="00DE2F60"/>
    <w:rsid w:val="00E32747"/>
    <w:rsid w:val="00E7256B"/>
    <w:rsid w:val="00E963BE"/>
    <w:rsid w:val="00F116E7"/>
    <w:rsid w:val="00FA706A"/>
    <w:rsid w:val="0489060D"/>
    <w:rsid w:val="049D2571"/>
    <w:rsid w:val="07761A76"/>
    <w:rsid w:val="0AC47600"/>
    <w:rsid w:val="0C062405"/>
    <w:rsid w:val="0C285B74"/>
    <w:rsid w:val="0C5A2E45"/>
    <w:rsid w:val="0ED70F07"/>
    <w:rsid w:val="11816881"/>
    <w:rsid w:val="11993E9B"/>
    <w:rsid w:val="16FC582C"/>
    <w:rsid w:val="17F378CF"/>
    <w:rsid w:val="19DB571E"/>
    <w:rsid w:val="1A1A21B8"/>
    <w:rsid w:val="1B8E0487"/>
    <w:rsid w:val="1F764740"/>
    <w:rsid w:val="209952CE"/>
    <w:rsid w:val="227B52DA"/>
    <w:rsid w:val="233854A3"/>
    <w:rsid w:val="23B862A5"/>
    <w:rsid w:val="23DD4B59"/>
    <w:rsid w:val="28AE3C52"/>
    <w:rsid w:val="2D851519"/>
    <w:rsid w:val="2EE12492"/>
    <w:rsid w:val="30295CD7"/>
    <w:rsid w:val="30D21892"/>
    <w:rsid w:val="349D6381"/>
    <w:rsid w:val="3950335F"/>
    <w:rsid w:val="3B6F0119"/>
    <w:rsid w:val="3E1F78AB"/>
    <w:rsid w:val="3F05181C"/>
    <w:rsid w:val="42A70B3E"/>
    <w:rsid w:val="46267B1F"/>
    <w:rsid w:val="473F57C2"/>
    <w:rsid w:val="4B0C13F8"/>
    <w:rsid w:val="4CF15D57"/>
    <w:rsid w:val="4E212A49"/>
    <w:rsid w:val="4EA2744B"/>
    <w:rsid w:val="4F284220"/>
    <w:rsid w:val="4F72223E"/>
    <w:rsid w:val="50AD0554"/>
    <w:rsid w:val="511F61B1"/>
    <w:rsid w:val="51B37138"/>
    <w:rsid w:val="52A259CB"/>
    <w:rsid w:val="536D6433"/>
    <w:rsid w:val="53D05766"/>
    <w:rsid w:val="53E33894"/>
    <w:rsid w:val="5524539E"/>
    <w:rsid w:val="55311E2B"/>
    <w:rsid w:val="57D55D06"/>
    <w:rsid w:val="580C0396"/>
    <w:rsid w:val="59357E23"/>
    <w:rsid w:val="5E320688"/>
    <w:rsid w:val="5F2D7118"/>
    <w:rsid w:val="60D060B2"/>
    <w:rsid w:val="62792D40"/>
    <w:rsid w:val="67921CF9"/>
    <w:rsid w:val="68B325F0"/>
    <w:rsid w:val="6B5D7DC1"/>
    <w:rsid w:val="6EFA1B62"/>
    <w:rsid w:val="70EA3A7A"/>
    <w:rsid w:val="72542595"/>
    <w:rsid w:val="75CF39CB"/>
    <w:rsid w:val="7684405B"/>
    <w:rsid w:val="779C7B02"/>
    <w:rsid w:val="78F7129F"/>
    <w:rsid w:val="7CAC03F1"/>
    <w:rsid w:val="7DD62B50"/>
    <w:rsid w:val="7FE2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5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left="576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26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7">
    <w:name w:val="heading 4"/>
    <w:basedOn w:val="1"/>
    <w:next w:val="1"/>
    <w:link w:val="27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paragraph" w:styleId="8">
    <w:name w:val="heading 5"/>
    <w:basedOn w:val="1"/>
    <w:next w:val="1"/>
    <w:link w:val="28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link w:val="29"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</w:rPr>
  </w:style>
  <w:style w:type="paragraph" w:styleId="10">
    <w:name w:val="heading 7"/>
    <w:basedOn w:val="1"/>
    <w:next w:val="1"/>
    <w:link w:val="30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</w:rPr>
  </w:style>
  <w:style w:type="paragraph" w:styleId="11">
    <w:name w:val="heading 8"/>
    <w:basedOn w:val="1"/>
    <w:next w:val="1"/>
    <w:link w:val="31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</w:rPr>
  </w:style>
  <w:style w:type="paragraph" w:styleId="12">
    <w:name w:val="heading 9"/>
    <w:basedOn w:val="1"/>
    <w:next w:val="1"/>
    <w:link w:val="32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lang w:val="zh-CN" w:bidi="zh-CN"/>
    </w:rPr>
  </w:style>
  <w:style w:type="paragraph" w:styleId="13">
    <w:name w:val="annotation text"/>
    <w:basedOn w:val="1"/>
    <w:semiHidden/>
    <w:unhideWhenUsed/>
    <w:qFormat/>
    <w:uiPriority w:val="99"/>
    <w:pPr>
      <w:jc w:val="left"/>
    </w:pPr>
  </w:style>
  <w:style w:type="paragraph" w:styleId="14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15">
    <w:name w:val="Balloon Text"/>
    <w:basedOn w:val="1"/>
    <w:link w:val="3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6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7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8">
    <w:name w:val="toc 1"/>
    <w:basedOn w:val="1"/>
    <w:next w:val="1"/>
    <w:semiHidden/>
    <w:unhideWhenUsed/>
    <w:qFormat/>
    <w:uiPriority w:val="39"/>
  </w:style>
  <w:style w:type="paragraph" w:styleId="1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20">
    <w:name w:val="Normal (Web)"/>
    <w:basedOn w:val="1"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  <w:style w:type="character" w:styleId="23">
    <w:name w:val="Hyperlink"/>
    <w:unhideWhenUsed/>
    <w:qFormat/>
    <w:uiPriority w:val="99"/>
    <w:rPr>
      <w:color w:val="0000FF"/>
      <w:u w:val="single"/>
    </w:rPr>
  </w:style>
  <w:style w:type="character" w:customStyle="1" w:styleId="24">
    <w:name w:val="标题 1 字符"/>
    <w:basedOn w:val="22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22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3 字符"/>
    <w:basedOn w:val="22"/>
    <w:link w:val="6"/>
    <w:qFormat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27">
    <w:name w:val="标题 4 字符"/>
    <w:basedOn w:val="22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8"/>
    </w:rPr>
  </w:style>
  <w:style w:type="character" w:customStyle="1" w:styleId="28">
    <w:name w:val="标题 5 字符"/>
    <w:basedOn w:val="22"/>
    <w:link w:val="8"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9">
    <w:name w:val="标题 6 字符"/>
    <w:basedOn w:val="22"/>
    <w:link w:val="9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30">
    <w:name w:val="标题 7 字符"/>
    <w:basedOn w:val="22"/>
    <w:link w:val="10"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1">
    <w:name w:val="标题 8 字符"/>
    <w:basedOn w:val="22"/>
    <w:link w:val="11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2">
    <w:name w:val="标题 9 字符"/>
    <w:basedOn w:val="22"/>
    <w:link w:val="12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3">
    <w:name w:val="批注框文本 字符"/>
    <w:basedOn w:val="22"/>
    <w:link w:val="1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34">
    <w:name w:val="List Paragraph"/>
    <w:basedOn w:val="1"/>
    <w:qFormat/>
    <w:uiPriority w:val="34"/>
    <w:pPr>
      <w:widowControl w:val="0"/>
      <w:spacing w:line="240" w:lineRule="auto"/>
      <w:ind w:firstLine="420" w:firstLineChars="200"/>
    </w:pPr>
    <w:rPr>
      <w:rFonts w:ascii="Calibri" w:hAnsi="Calibri"/>
      <w:sz w:val="21"/>
      <w:szCs w:val="22"/>
    </w:rPr>
  </w:style>
  <w:style w:type="character" w:customStyle="1" w:styleId="35">
    <w:name w:val="页眉 字符"/>
    <w:basedOn w:val="22"/>
    <w:link w:val="1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页脚 字符"/>
    <w:basedOn w:val="22"/>
    <w:link w:val="1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">
    <w:name w:val="l标题4"/>
    <w:basedOn w:val="7"/>
    <w:next w:val="1"/>
    <w:qFormat/>
    <w:uiPriority w:val="0"/>
    <w:pPr>
      <w:spacing w:before="10" w:after="10"/>
    </w:pPr>
  </w:style>
  <w:style w:type="paragraph" w:customStyle="1" w:styleId="41">
    <w:name w:val="l标题5"/>
    <w:basedOn w:val="8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</Words>
  <Characters>62</Characters>
  <Lines>6</Lines>
  <Paragraphs>1</Paragraphs>
  <TotalTime>7</TotalTime>
  <ScaleCrop>false</ScaleCrop>
  <LinksUpToDate>false</LinksUpToDate>
  <CharactersWithSpaces>100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2023-09-04T03:47:00Z</dcterms:created>
  <dc:creator>Windows 用户</dc:creator>
  <cp:lastModifiedBy>whoknowme21</cp:lastModifiedBy>
  <dcterms:modified xsi:type="dcterms:W3CDTF">2025-09-08T09:24:01Z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143C5FCD8D2A47C18163228A79CDF664_13</vt:lpwstr>
  </property>
  <property fmtid="{D5CDD505-2E9C-101B-9397-08002B2CF9AE}" pid="3" name="KSOProductBuildVer">
    <vt:lpwstr>2052-12.1.0.22529</vt:lpwstr>
  </property>
</Properties>
</file>