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jc w:val="left"/>
      </w:pPr>
      <w:bookmarkStart w:id="0" w:name="_Toc7118"/>
      <w:bookmarkStart w:id="1" w:name="_Toc27831"/>
    </w:p>
    <w:p>
      <w:pPr>
        <w:jc w:val="left"/>
      </w:pPr>
    </w:p>
    <w:p>
      <w:pPr>
        <w:jc w:val="left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left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center"/>
        <w:rPr>
          <w:rFonts w:asciiTheme="majorEastAsia" w:eastAsiaTheme="majorEastAsia" w:hAnsiTheme="majorEastAsia" w:cstheme="majorEastAsia" w:hint="eastAsia"/>
          <w:b/>
          <w:color w:val="0D0D0D"/>
          <w:kern w:val="0"/>
          <w:sz w:val="72"/>
          <w:szCs w:val="72"/>
          <w:lang w:bidi="ar"/>
        </w:rPr>
      </w:pPr>
      <w:bookmarkStart w:id="2" w:name="_Toc18280"/>
      <w:bookmarkStart w:id="3" w:name="_Toc3617"/>
      <w:bookmarkStart w:id="4" w:name="_Toc10034"/>
      <w:r>
        <w:rPr>
          <w:rFonts w:asciiTheme="majorEastAsia" w:eastAsiaTheme="majorEastAsia" w:hAnsiTheme="majorEastAsia" w:cstheme="majorEastAsia" w:hint="eastAsia"/>
          <w:b/>
          <w:color w:val="0D0D0D"/>
          <w:kern w:val="0"/>
          <w:sz w:val="72"/>
          <w:szCs w:val="72"/>
          <w:lang w:bidi="ar"/>
        </w:rPr>
        <w:t>学生工作管理系统</w:t>
      </w:r>
    </w:p>
    <w:p>
      <w:pPr>
        <w:jc w:val="center"/>
        <w:rPr>
          <w:rFonts w:asciiTheme="majorEastAsia" w:eastAsiaTheme="majorEastAsia" w:hAnsiTheme="majorEastAsia" w:cstheme="majorEastAsia" w:hint="eastAsia"/>
          <w:b/>
          <w:color w:val="0D0D0D"/>
          <w:kern w:val="0"/>
          <w:sz w:val="72"/>
          <w:szCs w:val="7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color w:val="0D0D0D"/>
          <w:kern w:val="0"/>
          <w:sz w:val="72"/>
          <w:szCs w:val="72"/>
          <w:lang w:bidi="ar"/>
        </w:rPr>
        <w:t>学生用户使用手册</w:t>
      </w:r>
    </w:p>
    <w:p>
      <w:pPr>
        <w:jc w:val="center"/>
        <w:rPr>
          <w:rFonts w:asciiTheme="majorEastAsia" w:eastAsiaTheme="majorEastAsia" w:hAnsiTheme="majorEastAsia" w:cstheme="majorEastAsia" w:hint="eastAsia"/>
          <w:b/>
          <w:color w:val="0D0D0D"/>
          <w:kern w:val="0"/>
          <w:sz w:val="72"/>
          <w:szCs w:val="72"/>
          <w:lang w:bidi="ar"/>
        </w:rPr>
      </w:pPr>
    </w:p>
    <w:p>
      <w:pPr>
        <w:jc w:val="left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center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left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left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left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center"/>
        <w:rPr>
          <w:rFonts w:asciiTheme="majorEastAsia" w:eastAsiaTheme="majorEastAsia" w:hAnsiTheme="majorEastAsia" w:cstheme="majorEastAsia"/>
          <w:b/>
          <w:color w:val="0D0D0D"/>
          <w:kern w:val="0"/>
          <w:sz w:val="72"/>
          <w:szCs w:val="72"/>
          <w:lang w:bidi="ar"/>
        </w:rPr>
      </w:pPr>
    </w:p>
    <w:p>
      <w:pPr>
        <w:jc w:val="center"/>
        <w:rPr>
          <w:rFonts w:eastAsiaTheme="minorEastAsia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Theme="minorHAnsi" w:eastAsiaTheme="minorEastAsia" w:hAnsiTheme="minorEastAsia" w:cstheme="minorEastAsia" w:hint="eastAsia"/>
          <w:b/>
          <w:color w:val="0D0D0D"/>
          <w:kern w:val="0"/>
          <w:sz w:val="40"/>
          <w:szCs w:val="40"/>
          <w:lang w:bidi="ar"/>
        </w:rPr>
        <w:t>Version</w:t>
      </w:r>
      <w:r>
        <w:rPr>
          <w:rFonts w:asciiTheme="minorHAnsi" w:eastAsiaTheme="minorEastAsia" w:hAnsiTheme="minorEastAsia" w:cstheme="minorEastAsia" w:hint="eastAsia"/>
          <w:color w:val="333333"/>
          <w:sz w:val="40"/>
          <w:szCs w:val="40"/>
          <w:shd w:val="clear" w:color="auto" w:fill="FFFFFF"/>
        </w:rPr>
        <w:t>1.0.0</w:t>
      </w:r>
    </w:p>
    <w:p>
      <w:pPr>
        <w:jc w:val="left"/>
      </w:pPr>
    </w:p>
    <w:p>
      <w:pPr>
        <w:jc w:val="left"/>
        <w:rPr>
          <w:rFonts w:ascii="微软雅黑" w:eastAsia="微软雅黑" w:hAnsi="微软雅黑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微软雅黑" w:eastAsia="微软雅黑" w:hAnsi="微软雅黑" w:hint="eastAsia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目 录</w:t>
      </w:r>
    </w:p>
    <w:p>
      <w:pPr>
        <w:jc w:val="left"/>
        <w:rPr>
          <w:rFonts w:ascii="微软雅黑" w:eastAsia="微软雅黑" w:hAnsi="微软雅黑" w:hint="eastAsia"/>
          <w:color w:val="A6A6A6" w:themeColor="background1" w:themeShade="A6"/>
          <w:sz w:val="30"/>
          <w:szCs w:val="30"/>
        </w:rPr>
      </w:pPr>
      <w:r>
        <w:rPr>
          <w:rFonts w:ascii="微软雅黑" w:eastAsia="微软雅黑" w:hAnsi="微软雅黑" w:hint="eastAsia"/>
          <w:color w:val="A6A6A6" w:themeColor="background1" w:themeShade="A6"/>
          <w:sz w:val="30"/>
          <w:szCs w:val="30"/>
        </w:rPr>
        <w:t>Contents</w:t>
      </w:r>
    </w:p>
    <w:sdt>
      <w:sdtPr>
        <w:rPr>
          <w:rFonts w:ascii="宋体" w:eastAsia="宋体" w:hAnsi="宋体" w:cs="Times New Roman"/>
          <w:kern w:val="2"/>
          <w:sz w:val="21"/>
          <w:szCs w:val="24"/>
          <w:lang w:val="en-US" w:eastAsia="zh-CN" w:bidi="ar-SA"/>
        </w:rPr>
        <w:id w:val="147452285"/>
        <w:docPartObj>
          <w:docPartGallery w:val="Table of Contents"/>
          <w:docPartUnique/>
        </w:docPartObj>
        <w15:color w:val="DBDBDB"/>
      </w:sdtPr>
      <w:sdtEndPr>
        <w:rPr>
          <w:rFonts w:ascii="微软雅黑" w:eastAsia="微软雅黑" w:hAnsi="微软雅黑" w:cs="Times New Roman" w:hint="eastAsia"/>
          <w:b/>
          <w:color w:val="A6A6A6" w:themeColor="background1" w:themeShade="A6"/>
          <w:kern w:val="2"/>
          <w:sz w:val="21"/>
          <w:szCs w:val="3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right="0" w:firstLine="0" w:leftChars="0" w:rightChars="0" w:firstLineChars="0"/>
            <w:jc w:val="left"/>
            <w:rPr>
              <w:rFonts w:ascii="微软雅黑" w:eastAsia="微软雅黑" w:hAnsi="微软雅黑" w:cs="Times New Roman" w:hint="eastAsia"/>
              <w:b/>
              <w:color w:val="A6A6A6" w:themeColor="background1" w:themeShade="A6"/>
              <w:kern w:val="2"/>
              <w:sz w:val="21"/>
              <w:szCs w:val="30"/>
              <w:lang w:val="en-US" w:eastAsia="zh-CN" w:bidi="ar-SA"/>
            </w:rPr>
          </w:pPr>
          <w:r>
            <w:rPr>
              <w:rFonts w:ascii="微软雅黑" w:eastAsia="微软雅黑" w:hAnsi="微软雅黑" w:hint="eastAsia"/>
              <w:color w:val="A6A6A6" w:themeColor="background1" w:themeShade="A6"/>
              <w:sz w:val="30"/>
              <w:szCs w:val="30"/>
            </w:rPr>
            <w:fldChar w:fldCharType="begin"/>
          </w:r>
          <w:r>
            <w:rPr>
              <w:rFonts w:ascii="微软雅黑" w:eastAsia="微软雅黑" w:hAnsi="微软雅黑" w:hint="eastAsia"/>
              <w:color w:val="A6A6A6" w:themeColor="background1" w:themeShade="A6"/>
              <w:sz w:val="30"/>
              <w:szCs w:val="30"/>
            </w:rPr>
            <w:instrText xml:space="preserve">TOC \o "1-2" \h \u </w:instrText>
          </w:r>
          <w:r>
            <w:rPr>
              <w:rFonts w:ascii="微软雅黑" w:eastAsia="微软雅黑" w:hAnsi="微软雅黑" w:hint="eastAsia"/>
              <w:color w:val="A6A6A6" w:themeColor="background1" w:themeShade="A6"/>
              <w:sz w:val="30"/>
              <w:szCs w:val="30"/>
            </w:rPr>
            <w:fldChar w:fldCharType="separate"/>
          </w:r>
        </w:p>
        <w:p>
          <w:pPr>
            <w:pStyle w:val="TOC1"/>
            <w:tabs>
              <w:tab w:val="right" w:leader="dot" w:pos="8306"/>
            </w:tabs>
          </w:pPr>
          <w:hyperlink w:anchor="_Toc31266" w:history="1"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登录（PC端）</w:t>
            </w:r>
            <w:r>
              <w:tab/>
            </w:r>
            <w:r>
              <w:fldChar w:fldCharType="begin"/>
            </w:r>
            <w:r>
              <w:instrText xml:space="preserve"> PAGEREF _Toc31266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</w:pPr>
          <w:hyperlink w:anchor="_Toc23530" w:history="1">
            <w:r>
              <w:rPr>
                <w:rFonts w:ascii="宋体" w:eastAsia="宋体" w:hAnsi="宋体" w:cs="宋体" w:hint="default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kern w:val="0"/>
                <w:position w:val="0"/>
                <w:vertAlign w:val="baseline"/>
                <w14:shadow w14:blurRad="0" w14:dist="0" w14:dir="0" w14:sx="0" w14:sy="0" w14:kx="0" w14:ky="0" w14:algn="none">
                  <w14:srgbClr w14:val="000000"/>
                </w14:shadow>
              </w:rPr>
              <w:t xml:space="preserve">1.1 </w:t>
            </w:r>
            <w:r>
              <w:rPr>
                <w:rFonts w:hint="eastAsia"/>
              </w:rPr>
              <w:t>方式一：通过</w:t>
            </w:r>
            <w:r>
              <w:rPr>
                <w:rFonts w:hint="eastAsia"/>
                <w:lang w:val="en-US" w:eastAsia="zh-CN"/>
              </w:rPr>
              <w:t>学生工作管理系统</w:t>
            </w:r>
            <w:r>
              <w:rPr>
                <w:rFonts w:hint="eastAsia"/>
              </w:rPr>
              <w:t>查看</w:t>
            </w:r>
            <w:r>
              <w:tab/>
            </w:r>
            <w:r>
              <w:fldChar w:fldCharType="begin"/>
            </w:r>
            <w:r>
              <w:instrText xml:space="preserve"> PAGEREF _Toc23530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2"/>
            <w:tabs>
              <w:tab w:val="right" w:leader="dot" w:pos="8306"/>
            </w:tabs>
          </w:pPr>
          <w:hyperlink w:anchor="_Toc3574" w:history="1">
            <w:r>
              <w:rPr>
                <w:rFonts w:ascii="宋体" w:eastAsia="宋体" w:hAnsi="宋体" w:cs="宋体" w:hint="default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kern w:val="0"/>
                <w:position w:val="0"/>
                <w:vertAlign w:val="baseline"/>
                <w14:shadow w14:blurRad="0" w14:dist="0" w14:dir="0" w14:sx="0" w14:sy="0" w14:kx="0" w14:ky="0" w14:algn="none">
                  <w14:srgbClr w14:val="000000"/>
                </w14:shadow>
              </w:rPr>
              <w:t xml:space="preserve">1.2 </w:t>
            </w:r>
            <w:r>
              <w:rPr>
                <w:rFonts w:hint="eastAsia"/>
              </w:rPr>
              <w:t>方式</w:t>
            </w:r>
            <w:r>
              <w:rPr>
                <w:rFonts w:hint="eastAsia"/>
                <w:lang w:val="en-US" w:eastAsia="zh-CN"/>
              </w:rPr>
              <w:t>二</w:t>
            </w:r>
            <w:r>
              <w:rPr>
                <w:rFonts w:hint="eastAsia"/>
              </w:rPr>
              <w:t>：通过统一门户查看</w:t>
            </w:r>
            <w:r>
              <w:tab/>
            </w:r>
            <w:r>
              <w:fldChar w:fldCharType="begin"/>
            </w:r>
            <w:r>
              <w:instrText xml:space="preserve"> PAGEREF _Toc3574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8306"/>
            </w:tabs>
          </w:pPr>
          <w:hyperlink w:anchor="_Toc21843" w:history="1"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功能入口</w:t>
            </w:r>
            <w:r>
              <w:tab/>
            </w:r>
            <w:r>
              <w:fldChar w:fldCharType="begin"/>
            </w:r>
            <w:r>
              <w:instrText xml:space="preserve"> PAGEREF _Toc21843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tabs>
              <w:tab w:val="right" w:leader="dot" w:pos="8306"/>
            </w:tabs>
          </w:pPr>
          <w:hyperlink w:anchor="_Toc31660" w:history="1"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办理</w:t>
            </w:r>
            <w:r>
              <w:rPr>
                <w:rFonts w:hint="eastAsia"/>
                <w:lang w:val="en-US" w:eastAsia="zh-CN"/>
              </w:rPr>
              <w:t>减免学费</w:t>
            </w:r>
            <w:r>
              <w:tab/>
            </w:r>
            <w:r>
              <w:fldChar w:fldCharType="begin"/>
            </w:r>
            <w:r>
              <w:instrText xml:space="preserve"> PAGEREF _Toc31660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>
          <w:pPr>
            <w:spacing w:before="0" w:beforeLines="0" w:after="0" w:afterLines="0" w:line="240" w:lineRule="auto"/>
            <w:ind w:left="0" w:right="0" w:firstLine="0" w:leftChars="0" w:rightChars="0" w:firstLineChars="0"/>
            <w:jc w:val="center"/>
            <w:rPr>
              <w:rFonts w:ascii="微软雅黑" w:eastAsia="微软雅黑" w:hAnsi="微软雅黑" w:hint="eastAsia"/>
              <w:color w:val="A6A6A6" w:themeColor="background1" w:themeShade="A6"/>
              <w:sz w:val="30"/>
              <w:szCs w:val="30"/>
            </w:rPr>
          </w:pPr>
          <w:r>
            <w:rPr>
              <w:rFonts w:ascii="微软雅黑" w:eastAsia="微软雅黑" w:hAnsi="微软雅黑" w:hint="eastAsia"/>
              <w:b/>
              <w:color w:val="A6A6A6" w:themeColor="background1" w:themeShade="A6"/>
              <w:szCs w:val="30"/>
            </w:rPr>
            <w:fldChar w:fldCharType="end"/>
          </w:r>
        </w:p>
      </w:sdtContent>
    </w:sdt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center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140" w:lineRule="atLeast"/>
        <w:jc w:val="left"/>
        <w:textAlignment w:val="auto"/>
        <w:rPr>
          <w:rFonts w:ascii="微软雅黑" w:eastAsia="微软雅黑" w:hAnsi="微软雅黑" w:cs="微软雅黑" w:hint="eastAsia"/>
          <w:szCs w:val="21"/>
        </w:rPr>
      </w:pPr>
    </w:p>
    <w:p>
      <w:pPr>
        <w:pStyle w:val="Heading1"/>
        <w:bidi w:val="0"/>
      </w:pPr>
      <w:bookmarkStart w:id="5" w:name="_Toc13352"/>
      <w:bookmarkStart w:id="6" w:name="_Toc31266"/>
      <w:r>
        <w:rPr>
          <w:rFonts w:hint="eastAsia"/>
          <w:lang w:val="en-US" w:eastAsia="zh-CN"/>
        </w:rPr>
        <w:t>1</w:t>
      </w:r>
      <w:r>
        <w:rPr>
          <w:rFonts w:hint="eastAsia"/>
        </w:rPr>
        <w:t>登录（PC端）</w:t>
      </w:r>
      <w:bookmarkEnd w:id="2"/>
      <w:bookmarkEnd w:id="3"/>
      <w:bookmarkEnd w:id="4"/>
      <w:bookmarkEnd w:id="5"/>
      <w:bookmarkEnd w:id="6"/>
    </w:p>
    <w:p>
      <w:pPr>
        <w:pStyle w:val="Heading2"/>
        <w:bidi w:val="0"/>
      </w:pPr>
      <w:bookmarkStart w:id="7" w:name="_Toc27176"/>
      <w:bookmarkStart w:id="8" w:name="_Toc23530"/>
      <w:bookmarkStart w:id="9" w:name="_Toc19305"/>
      <w:bookmarkStart w:id="10" w:name="_Toc8189"/>
      <w:bookmarkStart w:id="11" w:name="_Toc27443"/>
      <w:bookmarkStart w:id="12" w:name="_Toc18709"/>
      <w:bookmarkStart w:id="13" w:name="_Toc22074"/>
      <w:r>
        <w:rPr>
          <w:rFonts w:hint="eastAsia"/>
        </w:rPr>
        <w:t>方式一：通过</w:t>
      </w:r>
      <w:r>
        <w:rPr>
          <w:rFonts w:hint="eastAsia"/>
          <w:lang w:val="en-US" w:eastAsia="zh-CN"/>
        </w:rPr>
        <w:t>学生工作管理系统</w:t>
      </w:r>
      <w:r>
        <w:rPr>
          <w:rFonts w:hint="eastAsia"/>
        </w:rPr>
        <w:t>查看</w:t>
      </w:r>
      <w:bookmarkEnd w:id="7"/>
      <w:bookmarkEnd w:id="8"/>
      <w:bookmarkEnd w:id="9"/>
    </w:p>
    <w:p>
      <w:pPr>
        <w:pStyle w:val="Char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ascii="微软雅黑" w:eastAsia="微软雅黑" w:hAnsi="微软雅黑" w:cs="微软雅黑" w:hint="eastAsia"/>
          <w:kern w:val="2"/>
          <w:sz w:val="21"/>
          <w:szCs w:val="24"/>
          <w:lang w:val="en-US" w:eastAsia="zh-CN" w:bidi="ar-SA"/>
        </w:rPr>
      </w:pPr>
      <w:r>
        <w:rPr>
          <w:rFonts w:ascii="微软雅黑" w:eastAsia="微软雅黑" w:hAnsi="微软雅黑" w:cs="微软雅黑" w:hint="eastAsia"/>
          <w:kern w:val="2"/>
          <w:sz w:val="21"/>
          <w:szCs w:val="24"/>
          <w:lang w:val="en-US" w:eastAsia="zh-CN" w:bidi="ar-SA"/>
        </w:rPr>
        <w:t>打开浏览器在地址栏输入学生工作管理系统访问地址：https://xgxt.sysu.edu.cn/xfjm/，通过 NetID 登录。如下图所示：</w:t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254250" cy="1863725"/>
            <wp:effectExtent l="0" t="0" r="12700" b="31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84780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rcRect l="3928" t="3253" r="2455" b="3548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GoBack"/>
      <w:bookmarkEnd w:id="14"/>
    </w:p>
    <w:p>
      <w:pPr>
        <w:ind w:firstLine="420" w:firstLineChars="200"/>
        <w:jc w:val="left"/>
        <w:rPr>
          <w:rFonts w:ascii="微软雅黑" w:eastAsia="微软雅黑" w:hAnsi="微软雅黑" w:cs="微软雅黑" w:hint="eastAsia"/>
          <w:lang w:val="en-US" w:eastAsia="zh-CN"/>
        </w:rPr>
      </w:pPr>
      <w:r>
        <w:rPr>
          <w:rFonts w:ascii="微软雅黑" w:eastAsia="微软雅黑" w:hAnsi="微软雅黑" w:cs="微软雅黑" w:hint="eastAsia"/>
          <w:lang w:val="en-US" w:eastAsia="zh-CN"/>
        </w:rPr>
        <w:t>登录学生工作管理系统后，点击”全部服务“，在“资助服务”的标签下，可找到”减免学费“图标，如下图：</w:t>
      </w:r>
    </w:p>
    <w:p>
      <w:pPr>
        <w:ind w:firstLine="420" w:firstLineChars="200"/>
        <w:jc w:val="left"/>
        <w:rPr>
          <w:rFonts w:ascii="微软雅黑" w:eastAsia="微软雅黑" w:hAnsi="微软雅黑" w:cs="微软雅黑" w:hint="default"/>
          <w:lang w:val="en-US" w:eastAsia="zh-CN"/>
        </w:rPr>
      </w:pPr>
      <w:r>
        <w:rPr>
          <w:rFonts w:ascii="微软雅黑" w:eastAsia="微软雅黑" w:hAnsi="微软雅黑" w:cs="微软雅黑" w:hint="eastAsia"/>
          <w:lang w:val="en-US" w:eastAsia="zh-CN"/>
        </w:rPr>
        <w:drawing>
          <wp:inline distT="0" distB="0" distL="114300" distR="114300">
            <wp:extent cx="5264150" cy="1831975"/>
            <wp:effectExtent l="0" t="0" r="12700" b="15875"/>
            <wp:docPr id="1" name="图片 1" descr="1be551d9a6d337b0698a751a37b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00877" name="图片 1" descr="1be551d9a6d337b0698a751a37b15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Heading2"/>
        <w:bidi w:val="0"/>
      </w:pPr>
      <w:bookmarkStart w:id="15" w:name="_Toc597"/>
      <w:bookmarkStart w:id="16" w:name="_Toc8609"/>
      <w:bookmarkStart w:id="17" w:name="_Toc3574"/>
      <w:r>
        <w:rPr>
          <w:rFonts w:hint="eastAsia"/>
        </w:rPr>
        <w:t>方式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：通过统一门户查看</w:t>
      </w:r>
      <w:bookmarkEnd w:id="10"/>
      <w:bookmarkEnd w:id="11"/>
      <w:bookmarkEnd w:id="15"/>
      <w:bookmarkEnd w:id="16"/>
      <w:bookmarkEnd w:id="17"/>
    </w:p>
    <w:p>
      <w:pPr>
        <w:ind w:firstLine="420" w:firstLineChars="200"/>
        <w:jc w:val="left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打开浏览器在地址栏输入统一门户访问地址：https://portal.sysu.edu.cn，点击登录，进入登录页面，通过NetID登录。如图所示：</w:t>
      </w:r>
    </w:p>
    <w:p>
      <w:pPr>
        <w:ind w:firstLine="420" w:firstLineChars="200"/>
        <w:jc w:val="left"/>
        <w:rPr>
          <w:rFonts w:ascii="微软雅黑" w:eastAsia="微软雅黑" w:hAnsi="微软雅黑" w:cs="微软雅黑"/>
        </w:rPr>
      </w:pPr>
      <w:r>
        <w:drawing>
          <wp:inline distT="0" distB="0" distL="114300" distR="114300">
            <wp:extent cx="5260340" cy="2450465"/>
            <wp:effectExtent l="0" t="0" r="1651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0552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登录后，可以通过以下两种方式找到</w:t>
      </w:r>
      <w:r>
        <w:rPr>
          <w:rFonts w:ascii="微软雅黑" w:eastAsia="微软雅黑" w:hAnsi="微软雅黑" w:cs="微软雅黑" w:hint="eastAsia"/>
          <w:lang w:eastAsia="zh-CN"/>
        </w:rPr>
        <w:t>“</w:t>
      </w:r>
      <w:r>
        <w:rPr>
          <w:rFonts w:ascii="微软雅黑" w:eastAsia="微软雅黑" w:hAnsi="微软雅黑" w:cs="微软雅黑" w:hint="eastAsia"/>
          <w:lang w:val="en-US" w:eastAsia="zh-CN"/>
        </w:rPr>
        <w:t>减免学费</w:t>
      </w:r>
      <w:r>
        <w:rPr>
          <w:rFonts w:ascii="微软雅黑" w:eastAsia="微软雅黑" w:hAnsi="微软雅黑" w:cs="微软雅黑" w:hint="eastAsia"/>
          <w:lang w:eastAsia="zh-CN"/>
        </w:rPr>
        <w:t>”</w:t>
      </w:r>
      <w:r>
        <w:rPr>
          <w:rFonts w:ascii="微软雅黑" w:eastAsia="微软雅黑" w:hAnsi="微软雅黑" w:cs="微软雅黑" w:hint="eastAsia"/>
        </w:rPr>
        <w:t>应用图标：</w:t>
      </w:r>
    </w:p>
    <w:p>
      <w:pPr>
        <w:ind w:firstLine="420" w:firstLineChars="20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第一种，</w:t>
      </w:r>
      <w:r>
        <w:rPr>
          <w:rFonts w:ascii="微软雅黑" w:eastAsia="微软雅黑" w:hAnsi="微软雅黑" w:cs="微软雅黑" w:hint="eastAsia"/>
          <w:lang w:val="en-US" w:eastAsia="zh-CN"/>
        </w:rPr>
        <w:t>点击顶部的”放大镜“</w:t>
      </w:r>
      <w:r>
        <w:rPr>
          <w:rFonts w:ascii="微软雅黑" w:eastAsia="微软雅黑" w:hAnsi="微软雅黑" w:cs="微软雅黑" w:hint="eastAsia"/>
        </w:rPr>
        <w:t>图标，</w:t>
      </w:r>
      <w:r>
        <w:rPr>
          <w:rFonts w:ascii="微软雅黑" w:eastAsia="微软雅黑" w:hAnsi="微软雅黑" w:cs="微软雅黑" w:hint="eastAsia"/>
          <w:lang w:val="en-US" w:eastAsia="zh-CN"/>
        </w:rPr>
        <w:t>输入模块名称“减免学费”即可找到</w:t>
      </w:r>
      <w:r>
        <w:rPr>
          <w:rFonts w:ascii="微软雅黑" w:eastAsia="微软雅黑" w:hAnsi="微软雅黑" w:cs="微软雅黑" w:hint="eastAsia"/>
        </w:rPr>
        <w:t>，如下图所示：</w:t>
      </w:r>
    </w:p>
    <w:p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drawing>
          <wp:inline distT="0" distB="0" distL="114300" distR="114300">
            <wp:extent cx="5267960" cy="1572895"/>
            <wp:effectExtent l="0" t="0" r="8890" b="8255"/>
            <wp:docPr id="15" name="图片 15" descr="827cddd546e81d30e008a073b5a4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31896" name="图片 15" descr="827cddd546e81d30e008a073b5a44a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微软雅黑" w:eastAsia="微软雅黑" w:hAnsi="微软雅黑" w:cs="微软雅黑" w:hint="eastAsia"/>
          <w:lang w:val="en-US" w:eastAsia="zh-CN"/>
        </w:rPr>
      </w:pPr>
      <w:r>
        <w:rPr>
          <w:rFonts w:ascii="微软雅黑" w:eastAsia="微软雅黑" w:hAnsi="微软雅黑" w:cs="微软雅黑" w:hint="eastAsia"/>
        </w:rPr>
        <w:t>第二种，在</w:t>
      </w:r>
      <w:r>
        <w:rPr>
          <w:rFonts w:ascii="微软雅黑" w:eastAsia="微软雅黑" w:hAnsi="微软雅黑" w:cs="微软雅黑" w:hint="eastAsia"/>
          <w:lang w:val="en-US" w:eastAsia="zh-CN"/>
        </w:rPr>
        <w:t>服务</w:t>
      </w:r>
      <w:r>
        <w:rPr>
          <w:rFonts w:ascii="微软雅黑" w:eastAsia="微软雅黑" w:hAnsi="微软雅黑" w:cs="微软雅黑" w:hint="eastAsia"/>
        </w:rPr>
        <w:t>收藏夹，</w:t>
      </w:r>
      <w:r>
        <w:rPr>
          <w:rFonts w:ascii="微软雅黑" w:eastAsia="微软雅黑" w:hAnsi="微软雅黑" w:cs="微软雅黑" w:hint="eastAsia"/>
          <w:lang w:val="en-US" w:eastAsia="zh-CN"/>
        </w:rPr>
        <w:t>点击查看全部服务：</w:t>
      </w:r>
    </w:p>
    <w:p>
      <w:pPr>
        <w:ind w:firstLine="420" w:firstLineChars="200"/>
        <w:rPr>
          <w:rFonts w:ascii="微软雅黑" w:eastAsia="微软雅黑" w:hAnsi="微软雅黑" w:cs="微软雅黑" w:hint="eastAsia"/>
          <w:lang w:val="en-US" w:eastAsia="zh-CN"/>
        </w:rPr>
      </w:pPr>
      <w:r>
        <w:rPr>
          <w:rFonts w:ascii="微软雅黑" w:eastAsia="微软雅黑" w:hAnsi="微软雅黑" w:cs="微软雅黑" w:hint="eastAsia"/>
          <w:lang w:val="en-US" w:eastAsia="zh-CN"/>
        </w:rPr>
        <w:drawing>
          <wp:inline distT="0" distB="0" distL="114300" distR="114300">
            <wp:extent cx="5260340" cy="1210310"/>
            <wp:effectExtent l="0" t="0" r="16510" b="8890"/>
            <wp:docPr id="3" name="图片 3" descr="64721ceedc0293a73d40dd1e5fc4b59b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89506" name="图片 3" descr="64721ceedc0293a73d40dd1e5fc4b59b_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在全部服务中，找到“学工系统|服务”，找到“减免学费</w:t>
      </w:r>
      <w:r>
        <w:rPr>
          <w:rFonts w:ascii="微软雅黑" w:eastAsia="微软雅黑" w:hAnsi="微软雅黑" w:cs="微软雅黑" w:hint="eastAsia"/>
          <w:lang w:eastAsia="zh-CN"/>
        </w:rPr>
        <w:t>：</w:t>
      </w:r>
    </w:p>
    <w:p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drawing>
          <wp:inline distT="0" distB="0" distL="114300" distR="114300">
            <wp:extent cx="5268595" cy="4057015"/>
            <wp:effectExtent l="0" t="0" r="8255" b="635"/>
            <wp:docPr id="5" name="图片 5" descr="cbbc276897314f205cfd10116688b07e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73451" name="图片 5" descr="cbbc276897314f205cfd10116688b07e_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ascii="微软雅黑" w:eastAsia="微软雅黑" w:hAnsi="微软雅黑" w:cs="微软雅黑" w:hint="eastAsia"/>
          <w:color w:val="auto"/>
        </w:rPr>
        <w:t>鼠标移到</w:t>
      </w:r>
      <w:r>
        <w:rPr>
          <w:rFonts w:ascii="微软雅黑" w:eastAsia="微软雅黑" w:hAnsi="微软雅黑" w:cs="微软雅黑" w:hint="eastAsia"/>
          <w:color w:val="auto"/>
          <w:lang w:eastAsia="zh-CN"/>
        </w:rPr>
        <w:t>模块</w:t>
      </w:r>
      <w:r>
        <w:rPr>
          <w:rFonts w:ascii="微软雅黑" w:eastAsia="微软雅黑" w:hAnsi="微软雅黑" w:cs="微软雅黑" w:hint="eastAsia"/>
          <w:color w:val="auto"/>
        </w:rPr>
        <w:t>图标上，点击”星号“，进行收藏</w:t>
      </w:r>
      <w:r>
        <w:rPr>
          <w:rFonts w:ascii="微软雅黑" w:eastAsia="微软雅黑" w:hAnsi="微软雅黑" w:cs="微软雅黑" w:hint="eastAsia"/>
          <w:color w:val="auto"/>
          <w:lang w:eastAsia="zh-CN"/>
        </w:rPr>
        <w:t>，可</w:t>
      </w:r>
      <w:r>
        <w:rPr>
          <w:rFonts w:ascii="微软雅黑" w:eastAsia="微软雅黑" w:hAnsi="微软雅黑" w:cs="微软雅黑" w:hint="eastAsia"/>
          <w:color w:val="auto"/>
        </w:rPr>
        <w:t>方便</w:t>
      </w:r>
      <w:r>
        <w:rPr>
          <w:rFonts w:ascii="微软雅黑" w:eastAsia="微软雅黑" w:hAnsi="微软雅黑" w:cs="微软雅黑" w:hint="eastAsia"/>
          <w:color w:val="auto"/>
          <w:lang w:eastAsia="zh-CN"/>
        </w:rPr>
        <w:t>此后</w:t>
      </w:r>
      <w:r>
        <w:rPr>
          <w:rFonts w:ascii="微软雅黑" w:eastAsia="微软雅黑" w:hAnsi="微软雅黑" w:cs="微软雅黑" w:hint="eastAsia"/>
          <w:color w:val="auto"/>
        </w:rPr>
        <w:t>找到</w:t>
      </w:r>
      <w:r>
        <w:rPr>
          <w:rFonts w:ascii="微软雅黑" w:eastAsia="微软雅黑" w:hAnsi="微软雅黑" w:cs="微软雅黑" w:hint="eastAsia"/>
          <w:color w:val="auto"/>
          <w:lang w:eastAsia="zh-CN"/>
        </w:rPr>
        <w:t>该模块</w:t>
      </w:r>
      <w:r>
        <w:rPr>
          <w:rFonts w:ascii="微软雅黑" w:eastAsia="微软雅黑" w:hAnsi="微软雅黑" w:cs="微软雅黑" w:hint="eastAsia"/>
          <w:color w:val="auto"/>
        </w:rPr>
        <w:t>，如</w:t>
      </w:r>
      <w:r>
        <w:rPr>
          <w:rFonts w:ascii="微软雅黑" w:eastAsia="微软雅黑" w:hAnsi="微软雅黑" w:cs="微软雅黑" w:hint="eastAsia"/>
          <w:color w:val="auto"/>
          <w:lang w:val="en-US" w:eastAsia="zh-CN"/>
        </w:rPr>
        <w:t>上</w:t>
      </w:r>
      <w:r>
        <w:rPr>
          <w:rFonts w:ascii="微软雅黑" w:eastAsia="微软雅黑" w:hAnsi="微软雅黑" w:cs="微软雅黑" w:hint="eastAsia"/>
          <w:color w:val="auto"/>
        </w:rPr>
        <w:t>图所示。收藏后，即可在首页收藏夹找到。</w:t>
      </w:r>
    </w:p>
    <w:bookmarkEnd w:id="0"/>
    <w:bookmarkEnd w:id="1"/>
    <w:bookmarkEnd w:id="12"/>
    <w:bookmarkEnd w:id="13"/>
    <w:p>
      <w:pPr>
        <w:pStyle w:val="Heading1"/>
        <w:bidi w:val="0"/>
      </w:pPr>
      <w:bookmarkStart w:id="18" w:name="_Toc7413"/>
      <w:bookmarkStart w:id="19" w:name="_Toc21843"/>
      <w:r>
        <w:rPr>
          <w:rFonts w:hint="eastAsia"/>
          <w:lang w:val="en-US" w:eastAsia="zh-CN"/>
        </w:rPr>
        <w:t>2</w:t>
      </w:r>
      <w:r>
        <w:rPr>
          <w:rFonts w:hint="eastAsia"/>
        </w:rPr>
        <w:t>功能入口</w:t>
      </w:r>
      <w:bookmarkEnd w:id="18"/>
      <w:bookmarkEnd w:id="19"/>
    </w:p>
    <w:p>
      <w:pPr>
        <w:ind w:firstLine="420" w:firstLineChars="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登录</w:t>
      </w:r>
      <w:r>
        <w:rPr>
          <w:rFonts w:asciiTheme="minorEastAsia" w:eastAsiaTheme="minorEastAsia" w:hAnsiTheme="minorEastAsia" w:hint="eastAsia"/>
          <w:szCs w:val="21"/>
          <w:lang w:eastAsia="zh-CN"/>
        </w:rPr>
        <w:t>减免学费</w:t>
      </w:r>
      <w:r>
        <w:rPr>
          <w:rFonts w:asciiTheme="minorEastAsia" w:eastAsiaTheme="minorEastAsia" w:hAnsiTheme="minorEastAsia" w:hint="eastAsia"/>
          <w:szCs w:val="21"/>
        </w:rPr>
        <w:t>模块后，在主页中点击“减免办理”菜单栏，即可进入办理审核主界面，如图所示：</w:t>
      </w:r>
    </w:p>
    <w:p>
      <w:pPr>
        <w:ind w:firstLine="0" w:firstLineChars="0"/>
        <w:jc w:val="both"/>
        <w:rPr>
          <w:rFonts w:hint="eastAsia"/>
          <w:sz w:val="18"/>
          <w:szCs w:val="18"/>
        </w:rPr>
      </w:pPr>
      <w:r>
        <w:drawing>
          <wp:inline distT="0" distB="0" distL="114300" distR="114300">
            <wp:extent cx="5273040" cy="1920240"/>
            <wp:effectExtent l="0" t="0" r="3810" b="381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85386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  <w:rPr>
          <w:rFonts w:eastAsia="宋体" w:hint="eastAsia"/>
          <w:sz w:val="18"/>
          <w:szCs w:val="18"/>
          <w:lang w:eastAsia="zh-CN"/>
        </w:rPr>
      </w:pPr>
    </w:p>
    <w:p>
      <w:pPr>
        <w:pStyle w:val="Heading1"/>
        <w:bidi w:val="0"/>
      </w:pPr>
      <w:bookmarkStart w:id="20" w:name="_Toc11931"/>
      <w:bookmarkStart w:id="21" w:name="_Toc31660"/>
      <w:r>
        <w:rPr>
          <w:rFonts w:hint="eastAsia"/>
          <w:lang w:val="en-US" w:eastAsia="zh-CN"/>
        </w:rPr>
        <w:t>3</w:t>
      </w:r>
      <w:r>
        <w:rPr>
          <w:rFonts w:hint="eastAsia"/>
        </w:rPr>
        <w:t>办理</w:t>
      </w:r>
      <w:bookmarkEnd w:id="20"/>
      <w:r>
        <w:rPr>
          <w:rFonts w:hint="eastAsia"/>
          <w:lang w:val="en-US" w:eastAsia="zh-CN"/>
        </w:rPr>
        <w:t>减免学费</w:t>
      </w:r>
      <w:bookmarkEnd w:id="21"/>
    </w:p>
    <w:p>
      <w:pPr>
        <w:ind w:firstLine="420" w:firstLineChars="200"/>
      </w:pPr>
      <w:r>
        <w:rPr>
          <w:rFonts w:hint="eastAsia"/>
          <w:lang w:val="en-US" w:eastAsia="zh-CN"/>
        </w:rPr>
        <w:t>减免办理卡片中标明了</w:t>
      </w:r>
      <w:r>
        <w:rPr>
          <w:rFonts w:hint="eastAsia"/>
        </w:rPr>
        <w:t>工作的办理时间以及附件下载，点击“开始办理”按钮进入办理页面进行办理。</w:t>
      </w:r>
    </w:p>
    <w:p>
      <w:pPr>
        <w:ind w:firstLine="0" w:firstLineChars="0"/>
        <w:jc w:val="both"/>
        <w:rPr>
          <w:rFonts w:hint="eastAsia"/>
          <w:sz w:val="18"/>
          <w:szCs w:val="18"/>
        </w:rPr>
      </w:pPr>
      <w:r>
        <w:drawing>
          <wp:inline distT="0" distB="0" distL="114300" distR="114300">
            <wp:extent cx="5273040" cy="1920240"/>
            <wp:effectExtent l="0" t="0" r="3810" b="381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73976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点击“开始办理”进入办理详情页，根据个人情况填写减免办理信息，确认无误后点击“确认”即可提交。</w:t>
      </w:r>
    </w:p>
    <w:p>
      <w:pPr>
        <w:jc w:val="center"/>
      </w:pPr>
      <w:r>
        <w:drawing>
          <wp:inline distT="0" distB="0" distL="114300" distR="114300">
            <wp:extent cx="5271135" cy="2401570"/>
            <wp:effectExtent l="0" t="0" r="571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99107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提交后等待培养单位与学校审核，可以在线查看办理进度与提交的内容详情，审核完成后可查看办理结果。</w:t>
      </w: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C763BD76"/>
    <w:multiLevelType w:val="multilevel"/>
    <w:tmpl w:val="C763BD76"/>
    <w:lvl w:ilvl="0">
      <w:start w:val="1"/>
      <w:numFmt w:val="decimal"/>
      <w:isLgl/>
      <w:lvlText w:val="%1"/>
      <w:lvlJc w:val="left"/>
      <w:pPr>
        <w:ind w:left="425" w:hanging="425"/>
      </w:pPr>
      <w:rPr>
        <w:rFonts w:ascii="宋体" w:eastAsia="宋体" w:hAnsi="宋体" w:cs="宋体" w:hint="default"/>
      </w:rPr>
    </w:lvl>
    <w:lvl w:ilvl="1">
      <w:start w:val="1"/>
      <w:numFmt w:val="decimal"/>
      <w:pStyle w:val="Heading2"/>
      <w:lvlText w:val="%1.%2"/>
      <w:lvlJc w:val="left"/>
      <w:pPr>
        <w:ind w:left="283" w:hanging="283"/>
      </w:pPr>
      <w:rPr>
        <w:rFonts w:ascii="宋体" w:eastAsia="宋体" w:hAnsi="宋体" w:cs="宋体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Heading3"/>
      <w:lvlText w:val="%1.%2.%3"/>
      <w:lvlJc w:val="left"/>
      <w:pPr>
        <w:ind w:left="170" w:hanging="170"/>
      </w:pPr>
      <w:rPr>
        <w:rFonts w:ascii="宋体" w:eastAsia="宋体" w:hAnsi="宋体" w:cs="宋体" w:hint="default"/>
        <w:b/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227" w:hanging="227"/>
      </w:pPr>
      <w:rPr>
        <w:rFonts w:ascii="宋体" w:eastAsia="宋体" w:hAnsi="宋体" w:cs="宋体" w:hint="default"/>
        <w:b/>
        <w:sz w:val="28"/>
        <w:szCs w:val="28"/>
      </w:rPr>
    </w:lvl>
    <w:lvl w:ilvl="4">
      <w:start w:val="1"/>
      <w:numFmt w:val="decimal"/>
      <w:pStyle w:val="Heading5"/>
      <w:isLgl/>
      <w:lvlText w:val="%1.%2.%3.%4.%5"/>
      <w:lvlJc w:val="left"/>
      <w:rPr>
        <w:rFonts w:ascii="宋体" w:eastAsia="宋体" w:hAnsi="宋体" w:cs="宋体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legacyObliqueTopLef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</w:rPr>
    </w:lvl>
    <w:lvl w:ilvl="5">
      <w:start w:val="1"/>
      <w:numFmt w:val="decimal"/>
      <w:lvlText w:val="%1.%2.%3.%4.%5.%6"/>
      <w:lvlJc w:val="left"/>
      <w:rPr>
        <w:rFonts w:ascii="宋体" w:eastAsia="宋体" w:hAnsi="宋体" w:cs="宋体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legacyObliqueTopLef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</w:rPr>
    </w:lvl>
    <w:lvl w:ilvl="6">
      <w:start w:val="1"/>
      <w:numFmt w:val="bullet"/>
      <w:lvlText w:val=""/>
      <w:lvlJc w:val="left"/>
      <w:pPr>
        <w:ind w:left="3827" w:hanging="1276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decimal"/>
      <w:lvlText w:val="%1.%2.%3.%4.%5..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.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957796"/>
    <w:rsid w:val="0AF37CA0"/>
    <w:rsid w:val="0B713860"/>
    <w:rsid w:val="1A99641A"/>
    <w:rsid w:val="1B9E4D6C"/>
    <w:rsid w:val="1F9D683F"/>
    <w:rsid w:val="23CE7E80"/>
    <w:rsid w:val="35957796"/>
    <w:rsid w:val="36F7432F"/>
    <w:rsid w:val="3A2D32E7"/>
    <w:rsid w:val="3AE60D36"/>
    <w:rsid w:val="4242068F"/>
    <w:rsid w:val="4AC8084B"/>
    <w:rsid w:val="4BF26BE3"/>
    <w:rsid w:val="4C3F58B2"/>
    <w:rsid w:val="4EF2255F"/>
    <w:rsid w:val="56035BF2"/>
    <w:rsid w:val="57253096"/>
    <w:rsid w:val="596F4A8C"/>
    <w:rsid w:val="79DB11E9"/>
  </w:rsids>
  <w:docVars>
    <w:docVar w:name="commondata" w:val="eyJoZGlkIjoiYTYwZWYzZDM1NmE3M2QyOTNhOGY3MzIwYWRkNzcxNm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qFormat="1"/>
    <w:lsdException w:name="heading 5" w:semiHidden="0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1"/>
      </w:numPr>
      <w:tabs>
        <w:tab w:val="left" w:pos="567"/>
      </w:tabs>
      <w:spacing w:before="10" w:after="10"/>
      <w:ind w:right="210" w:rightChars="100"/>
      <w:outlineLvl w:val="1"/>
    </w:pPr>
    <w:rPr>
      <w:b/>
      <w:bCs/>
      <w:kern w:val="0"/>
      <w:sz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numPr>
        <w:ilvl w:val="2"/>
        <w:numId w:val="1"/>
      </w:numPr>
      <w:spacing w:before="10" w:after="10" w:line="240" w:lineRule="auto"/>
      <w:jc w:val="left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numPr>
        <w:ilvl w:val="3"/>
        <w:numId w:val="1"/>
      </w:numPr>
      <w:spacing w:before="10" w:after="10" w:line="240" w:lineRule="auto"/>
      <w:ind w:right="210" w:rightChars="100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numPr>
        <w:ilvl w:val="4"/>
        <w:numId w:val="1"/>
      </w:numPr>
      <w:spacing w:before="10" w:after="10" w:line="240" w:lineRule="auto"/>
      <w:ind w:right="210" w:rightChars="100"/>
      <w:jc w:val="left"/>
      <w:outlineLvl w:val="4"/>
    </w:pPr>
    <w:rPr>
      <w:b/>
      <w:bCs/>
      <w:sz w:val="28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="420" w:leftChars="200"/>
    </w:pPr>
  </w:style>
  <w:style w:type="paragraph" w:customStyle="1" w:styleId="Char">
    <w:name w:val="标准五号 Char"/>
    <w:basedOn w:val="Normal"/>
    <w:qFormat/>
    <w:pPr>
      <w:ind w:firstLine="420" w:firstLineChars="200"/>
    </w:pPr>
    <w:rPr>
      <w:rFonts w:asciiTheme="minorEastAsia" w:eastAsia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607</Words>
  <Characters>684</Characters>
  <Application>Microsoft Office Word</Application>
  <DocSecurity>0</DocSecurity>
  <Lines>0</Lines>
  <Paragraphs>0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大白兔和小黄人</dc:creator>
  <cp:lastModifiedBy>YU</cp:lastModifiedBy>
  <cp:revision>1</cp:revision>
  <dcterms:created xsi:type="dcterms:W3CDTF">2022-08-09T08:37:00Z</dcterms:created>
  <dcterms:modified xsi:type="dcterms:W3CDTF">2023-10-24T07:06:00Z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E2C3472670AA4407900CAC51984A4365_13</vt:lpwstr>
  </property>
  <property fmtid="{D5CDD505-2E9C-101B-9397-08002B2CF9AE}" pid="3" name="KSOProductBuildVer">
    <vt:lpwstr>2052-11.8.2.11813</vt:lpwstr>
  </property>
</Properties>
</file>