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67E87D">
      <w:pPr>
        <w:pStyle w:val="6"/>
        <w:rPr>
          <w:rFonts w:ascii="Times New Roman"/>
          <w:sz w:val="20"/>
        </w:rPr>
      </w:pPr>
      <w:bookmarkStart w:id="29" w:name="_GoBack"/>
      <w:bookmarkEnd w:id="29"/>
    </w:p>
    <w:p w14:paraId="60F4551A">
      <w:pPr>
        <w:pStyle w:val="6"/>
        <w:spacing w:before="2"/>
        <w:rPr>
          <w:rFonts w:ascii="Times New Roman"/>
          <w:sz w:val="23"/>
        </w:rPr>
      </w:pPr>
    </w:p>
    <w:p w14:paraId="4E51808F">
      <w:pPr>
        <w:pStyle w:val="6"/>
        <w:ind w:left="3691"/>
        <w:rPr>
          <w:rFonts w:ascii="Times New Roman"/>
          <w:sz w:val="20"/>
        </w:rPr>
      </w:pPr>
      <w:r>
        <w:rPr>
          <w:rFonts w:ascii="Times New Roman"/>
          <w:sz w:val="20"/>
          <w:lang w:val="en-US" w:bidi="ar-SA"/>
        </w:rPr>
        <w:drawing>
          <wp:inline distT="0" distB="0" distL="0" distR="0">
            <wp:extent cx="1123950" cy="101917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4291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433CE">
      <w:pPr>
        <w:pStyle w:val="6"/>
        <w:rPr>
          <w:rFonts w:ascii="Times New Roman"/>
          <w:sz w:val="20"/>
        </w:rPr>
      </w:pPr>
    </w:p>
    <w:p w14:paraId="3AAB24A5">
      <w:pPr>
        <w:pStyle w:val="6"/>
        <w:rPr>
          <w:rFonts w:ascii="Times New Roman"/>
          <w:sz w:val="20"/>
        </w:rPr>
      </w:pPr>
    </w:p>
    <w:p w14:paraId="68892C12">
      <w:pPr>
        <w:pStyle w:val="6"/>
        <w:rPr>
          <w:rFonts w:ascii="Times New Roman"/>
          <w:sz w:val="20"/>
        </w:rPr>
      </w:pPr>
    </w:p>
    <w:p w14:paraId="45F8C512">
      <w:pPr>
        <w:pStyle w:val="6"/>
        <w:rPr>
          <w:rFonts w:ascii="Times New Roman"/>
          <w:sz w:val="20"/>
        </w:rPr>
      </w:pPr>
    </w:p>
    <w:p w14:paraId="1C545900">
      <w:pPr>
        <w:pStyle w:val="6"/>
        <w:rPr>
          <w:rFonts w:ascii="Times New Roman"/>
          <w:sz w:val="20"/>
        </w:rPr>
      </w:pPr>
    </w:p>
    <w:p w14:paraId="6B00DD38">
      <w:pPr>
        <w:pStyle w:val="6"/>
        <w:rPr>
          <w:rFonts w:ascii="Times New Roman"/>
          <w:sz w:val="20"/>
        </w:rPr>
      </w:pPr>
    </w:p>
    <w:p w14:paraId="7F55FB3C">
      <w:pPr>
        <w:pStyle w:val="6"/>
        <w:jc w:val="center"/>
        <w:rPr>
          <w:rFonts w:ascii="宋体" w:eastAsia="宋体"/>
          <w:b/>
          <w:color w:val="0D0D0D"/>
          <w:sz w:val="72"/>
          <w:szCs w:val="22"/>
        </w:rPr>
      </w:pPr>
    </w:p>
    <w:p w14:paraId="3D6814F7">
      <w:pPr>
        <w:pStyle w:val="6"/>
        <w:jc w:val="center"/>
        <w:rPr>
          <w:rFonts w:ascii="宋体" w:eastAsia="宋体"/>
          <w:b/>
          <w:color w:val="0D0D0D"/>
          <w:sz w:val="72"/>
          <w:szCs w:val="22"/>
        </w:rPr>
      </w:pPr>
      <w:r>
        <w:rPr>
          <w:rFonts w:hint="eastAsia" w:ascii="宋体" w:eastAsia="宋体"/>
          <w:b/>
          <w:color w:val="0D0D0D"/>
          <w:sz w:val="72"/>
          <w:szCs w:val="22"/>
        </w:rPr>
        <w:t>学生工作管理系统使用手册（缓交学费）</w:t>
      </w:r>
      <w:r>
        <w:rPr>
          <w:rFonts w:ascii="宋体" w:eastAsia="宋体"/>
          <w:b/>
          <w:color w:val="0D0D0D"/>
          <w:sz w:val="72"/>
          <w:szCs w:val="22"/>
        </w:rPr>
        <w:t>-学生用户</w:t>
      </w:r>
    </w:p>
    <w:p w14:paraId="1896B832">
      <w:pPr>
        <w:pStyle w:val="6"/>
        <w:rPr>
          <w:rFonts w:ascii="宋体"/>
          <w:b/>
          <w:sz w:val="72"/>
        </w:rPr>
      </w:pPr>
    </w:p>
    <w:p w14:paraId="4DF04348">
      <w:pPr>
        <w:pStyle w:val="6"/>
        <w:rPr>
          <w:rFonts w:ascii="宋体"/>
          <w:b/>
          <w:sz w:val="72"/>
        </w:rPr>
      </w:pPr>
    </w:p>
    <w:p w14:paraId="03EF16DC">
      <w:pPr>
        <w:pStyle w:val="6"/>
        <w:rPr>
          <w:rFonts w:ascii="宋体"/>
          <w:b/>
          <w:sz w:val="72"/>
        </w:rPr>
      </w:pPr>
    </w:p>
    <w:p w14:paraId="51C8CD33">
      <w:pPr>
        <w:pStyle w:val="6"/>
        <w:rPr>
          <w:rFonts w:ascii="宋体"/>
          <w:b/>
          <w:sz w:val="72"/>
        </w:rPr>
      </w:pPr>
    </w:p>
    <w:p w14:paraId="52669051">
      <w:pPr>
        <w:pStyle w:val="6"/>
        <w:rPr>
          <w:rFonts w:ascii="宋体"/>
          <w:b/>
          <w:sz w:val="72"/>
        </w:rPr>
      </w:pPr>
    </w:p>
    <w:p w14:paraId="4145C562">
      <w:pPr>
        <w:pStyle w:val="6"/>
        <w:spacing w:before="1"/>
        <w:rPr>
          <w:rFonts w:ascii="宋体"/>
          <w:b/>
          <w:sz w:val="84"/>
        </w:rPr>
      </w:pPr>
    </w:p>
    <w:p w14:paraId="64CDB154">
      <w:pPr>
        <w:ind w:left="662" w:right="733"/>
        <w:jc w:val="center"/>
        <w:rPr>
          <w:rFonts w:ascii="Calibri"/>
          <w:sz w:val="40"/>
        </w:rPr>
      </w:pPr>
      <w:r>
        <w:rPr>
          <w:rFonts w:ascii="Calibri"/>
          <w:b/>
          <w:color w:val="0D0D0D"/>
          <w:sz w:val="40"/>
        </w:rPr>
        <w:t>Version</w:t>
      </w:r>
      <w:r>
        <w:rPr>
          <w:rFonts w:ascii="Calibri"/>
          <w:color w:val="333333"/>
          <w:sz w:val="40"/>
        </w:rPr>
        <w:t>1.0.0</w:t>
      </w:r>
    </w:p>
    <w:p w14:paraId="4D4B1F1D">
      <w:pPr>
        <w:jc w:val="center"/>
        <w:rPr>
          <w:rFonts w:ascii="Calibri"/>
          <w:sz w:val="40"/>
        </w:rPr>
        <w:sectPr>
          <w:pgSz w:w="11910" w:h="16840"/>
          <w:pgMar w:top="1580" w:right="1600" w:bottom="280" w:left="1680" w:header="720" w:footer="720" w:gutter="0"/>
          <w:cols w:space="720" w:num="1"/>
        </w:sectPr>
      </w:pPr>
    </w:p>
    <w:p w14:paraId="3702E663">
      <w:pPr>
        <w:pStyle w:val="6"/>
        <w:rPr>
          <w:rFonts w:ascii="Calibri"/>
          <w:sz w:val="20"/>
        </w:rPr>
      </w:pPr>
    </w:p>
    <w:p w14:paraId="565D18D9">
      <w:pPr>
        <w:tabs>
          <w:tab w:val="left" w:pos="779"/>
        </w:tabs>
        <w:spacing w:before="129"/>
        <w:ind w:left="120"/>
        <w:rPr>
          <w:b/>
          <w:sz w:val="44"/>
        </w:rPr>
      </w:pPr>
      <w:r>
        <w:rPr>
          <w:b/>
          <w:color w:val="0B0B0B"/>
          <w:sz w:val="44"/>
        </w:rPr>
        <w:t>目</w:t>
      </w:r>
      <w:r>
        <w:rPr>
          <w:b/>
          <w:color w:val="0B0B0B"/>
          <w:sz w:val="44"/>
        </w:rPr>
        <w:tab/>
      </w:r>
      <w:r>
        <w:rPr>
          <w:b/>
          <w:color w:val="0B0B0B"/>
          <w:sz w:val="44"/>
        </w:rPr>
        <w:t>录</w:t>
      </w:r>
    </w:p>
    <w:sdt>
      <w:sdtPr>
        <w:rPr>
          <w:rFonts w:ascii="宋体" w:hAnsi="宋体" w:eastAsia="宋体"/>
          <w:sz w:val="21"/>
        </w:rPr>
        <w:id w:val="147478140"/>
        <w15:color w:val="DBDBDB"/>
        <w:docPartObj>
          <w:docPartGallery w:val="Table of Contents"/>
          <w:docPartUnique/>
        </w:docPartObj>
      </w:sdtPr>
      <w:sdtEndPr>
        <w:rPr>
          <w:rFonts w:ascii="微软雅黑" w:hAnsi="微软雅黑" w:eastAsia="微软雅黑"/>
          <w:sz w:val="22"/>
        </w:rPr>
      </w:sdtEndPr>
      <w:sdtContent>
        <w:p w14:paraId="4305BF1A">
          <w:pPr>
            <w:jc w:val="center"/>
          </w:pPr>
        </w:p>
        <w:p w14:paraId="1F48BB0E">
          <w:pPr>
            <w:pStyle w:val="10"/>
            <w:tabs>
              <w:tab w:val="right" w:leader="dot" w:pos="8630"/>
            </w:tabs>
            <w:ind w:left="440"/>
          </w:pPr>
          <w:r>
            <w:fldChar w:fldCharType="begin"/>
          </w:r>
          <w:r>
            <w:instrText xml:space="preserve">TOC \o "1-3" \h \u </w:instrText>
          </w:r>
          <w:r>
            <w:fldChar w:fldCharType="separate"/>
          </w:r>
          <w:r>
            <w:fldChar w:fldCharType="begin"/>
          </w:r>
          <w:r>
            <w:instrText xml:space="preserve"> HYPERLINK \l "_Toc11058" </w:instrText>
          </w:r>
          <w:r>
            <w:fldChar w:fldCharType="separate"/>
          </w:r>
          <w:r>
            <w:t>1. 登录（PC</w:t>
          </w:r>
          <w:r>
            <w:rPr>
              <w:spacing w:val="-8"/>
            </w:rPr>
            <w:t xml:space="preserve"> 端</w:t>
          </w:r>
          <w:r>
            <w:t>）</w:t>
          </w:r>
          <w:r>
            <w:tab/>
          </w:r>
          <w:r>
            <w:fldChar w:fldCharType="begin"/>
          </w:r>
          <w:r>
            <w:instrText xml:space="preserve"> PAGEREF _Toc11058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547BC0E5">
          <w:pPr>
            <w:pStyle w:val="10"/>
            <w:tabs>
              <w:tab w:val="right" w:leader="dot" w:pos="8630"/>
            </w:tabs>
            <w:ind w:left="440"/>
          </w:pPr>
          <w:r>
            <w:fldChar w:fldCharType="begin"/>
          </w:r>
          <w:r>
            <w:instrText xml:space="preserve"> HYPERLINK \l "_Toc3485" </w:instrText>
          </w:r>
          <w:r>
            <w:fldChar w:fldCharType="separate"/>
          </w:r>
          <w:r>
            <w:t xml:space="preserve">2. </w:t>
          </w:r>
          <w:r>
            <w:rPr>
              <w:rFonts w:hint="eastAsia"/>
              <w:lang w:val="en-US"/>
            </w:rPr>
            <w:t>缓交办理</w:t>
          </w:r>
          <w:r>
            <w:tab/>
          </w:r>
          <w:r>
            <w:fldChar w:fldCharType="begin"/>
          </w:r>
          <w:r>
            <w:instrText xml:space="preserve"> PAGEREF _Toc3485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 w14:paraId="2CCE3ACC">
          <w:pPr>
            <w:pStyle w:val="10"/>
            <w:tabs>
              <w:tab w:val="right" w:leader="dot" w:pos="8630"/>
            </w:tabs>
            <w:ind w:left="440" w:firstLine="220" w:firstLineChars="100"/>
          </w:pPr>
          <w:r>
            <w:fldChar w:fldCharType="begin"/>
          </w:r>
          <w:r>
            <w:instrText xml:space="preserve"> HYPERLINK \l "_Toc30905" </w:instrText>
          </w:r>
          <w:r>
            <w:fldChar w:fldCharType="separate"/>
          </w:r>
          <w:r>
            <w:rPr>
              <w:lang w:val="en-US"/>
            </w:rPr>
            <w:t xml:space="preserve">2.1 </w:t>
          </w:r>
          <w:r>
            <w:rPr>
              <w:rFonts w:hint="eastAsia"/>
              <w:lang w:val="en-US"/>
            </w:rPr>
            <w:t>开始办理</w:t>
          </w:r>
          <w:r>
            <w:tab/>
          </w:r>
          <w:r>
            <w:fldChar w:fldCharType="begin"/>
          </w:r>
          <w:r>
            <w:instrText xml:space="preserve"> PAGEREF _Toc30905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 w14:paraId="11999EEA">
          <w:pPr>
            <w:pStyle w:val="10"/>
            <w:tabs>
              <w:tab w:val="right" w:leader="dot" w:pos="8630"/>
            </w:tabs>
            <w:ind w:left="440" w:firstLine="220" w:firstLineChars="100"/>
          </w:pPr>
          <w:r>
            <w:fldChar w:fldCharType="begin"/>
          </w:r>
          <w:r>
            <w:instrText xml:space="preserve"> HYPERLINK \l "_Toc10747" </w:instrText>
          </w:r>
          <w:r>
            <w:fldChar w:fldCharType="separate"/>
          </w:r>
          <w:r>
            <w:rPr>
              <w:lang w:val="en-US"/>
            </w:rPr>
            <w:t xml:space="preserve">2.2 </w:t>
          </w:r>
          <w:r>
            <w:rPr>
              <w:rFonts w:hint="eastAsia"/>
              <w:lang w:val="en-US"/>
            </w:rPr>
            <w:t>查看详情</w:t>
          </w:r>
          <w:r>
            <w:tab/>
          </w:r>
          <w:r>
            <w:fldChar w:fldCharType="begin"/>
          </w:r>
          <w:r>
            <w:instrText xml:space="preserve"> PAGEREF _Toc10747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 w14:paraId="7F0BCF8F">
          <w:pPr>
            <w:pStyle w:val="7"/>
            <w:tabs>
              <w:tab w:val="right" w:leader="dot" w:pos="8630"/>
            </w:tabs>
            <w:ind w:left="880"/>
          </w:pPr>
          <w:r>
            <w:fldChar w:fldCharType="begin"/>
          </w:r>
          <w:r>
            <w:instrText xml:space="preserve"> HYPERLINK \l "_Toc360" </w:instrText>
          </w:r>
          <w:r>
            <w:fldChar w:fldCharType="separate"/>
          </w:r>
          <w:r>
            <w:rPr>
              <w:lang w:val="en-US"/>
            </w:rPr>
            <w:t xml:space="preserve">2.2.1 </w:t>
          </w:r>
          <w:r>
            <w:rPr>
              <w:rFonts w:hint="eastAsia"/>
              <w:lang w:val="en-US"/>
            </w:rPr>
            <w:t>审核中</w:t>
          </w:r>
          <w:r>
            <w:tab/>
          </w:r>
          <w:r>
            <w:fldChar w:fldCharType="begin"/>
          </w:r>
          <w:r>
            <w:instrText xml:space="preserve"> PAGEREF _Toc360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 w14:paraId="2F365DC9">
          <w:pPr>
            <w:pStyle w:val="7"/>
            <w:tabs>
              <w:tab w:val="right" w:leader="dot" w:pos="8630"/>
            </w:tabs>
            <w:ind w:left="880"/>
          </w:pPr>
          <w:r>
            <w:fldChar w:fldCharType="begin"/>
          </w:r>
          <w:r>
            <w:instrText xml:space="preserve"> HYPERLINK \l "_Toc12468" </w:instrText>
          </w:r>
          <w:r>
            <w:fldChar w:fldCharType="separate"/>
          </w:r>
          <w:r>
            <w:rPr>
              <w:lang w:val="en-US"/>
            </w:rPr>
            <w:t xml:space="preserve">2.2.2 </w:t>
          </w:r>
          <w:r>
            <w:rPr>
              <w:rFonts w:hint="eastAsia"/>
              <w:lang w:val="en-US"/>
            </w:rPr>
            <w:t>已通过</w:t>
          </w:r>
          <w:r>
            <w:tab/>
          </w:r>
          <w:r>
            <w:fldChar w:fldCharType="begin"/>
          </w:r>
          <w:r>
            <w:instrText xml:space="preserve"> PAGEREF _Toc12468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 w14:paraId="49772C04">
          <w:pPr>
            <w:pStyle w:val="10"/>
            <w:tabs>
              <w:tab w:val="right" w:leader="dot" w:pos="8630"/>
            </w:tabs>
            <w:ind w:left="440" w:firstLine="220" w:firstLineChars="100"/>
          </w:pPr>
          <w:r>
            <w:fldChar w:fldCharType="begin"/>
          </w:r>
          <w:r>
            <w:instrText xml:space="preserve"> HYPERLINK \l "_Toc32630" </w:instrText>
          </w:r>
          <w:r>
            <w:fldChar w:fldCharType="separate"/>
          </w:r>
          <w:r>
            <w:rPr>
              <w:lang w:val="en-US"/>
            </w:rPr>
            <w:t xml:space="preserve">2.3 </w:t>
          </w:r>
          <w:r>
            <w:rPr>
              <w:rFonts w:hint="eastAsia"/>
              <w:lang w:val="en-US"/>
            </w:rPr>
            <w:t>重新办理</w:t>
          </w:r>
          <w:r>
            <w:tab/>
          </w:r>
          <w:r>
            <w:fldChar w:fldCharType="begin"/>
          </w:r>
          <w:r>
            <w:instrText xml:space="preserve"> PAGEREF _Toc32630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 w14:paraId="3A61AF2F">
          <w:pPr>
            <w:pStyle w:val="7"/>
            <w:tabs>
              <w:tab w:val="right" w:leader="dot" w:pos="8630"/>
            </w:tabs>
            <w:ind w:left="880"/>
          </w:pPr>
          <w:r>
            <w:fldChar w:fldCharType="begin"/>
          </w:r>
          <w:r>
            <w:instrText xml:space="preserve"> HYPERLINK \l "_Toc25490" </w:instrText>
          </w:r>
          <w:r>
            <w:fldChar w:fldCharType="separate"/>
          </w:r>
          <w:r>
            <w:rPr>
              <w:lang w:val="en-US"/>
            </w:rPr>
            <w:t xml:space="preserve">2.3.1 </w:t>
          </w:r>
          <w:r>
            <w:rPr>
              <w:rFonts w:hint="eastAsia"/>
              <w:lang w:val="en-US"/>
            </w:rPr>
            <w:t>不通过</w:t>
          </w:r>
          <w:r>
            <w:tab/>
          </w:r>
          <w:r>
            <w:fldChar w:fldCharType="begin"/>
          </w:r>
          <w:r>
            <w:instrText xml:space="preserve"> PAGEREF _Toc25490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 w14:paraId="60373E65">
          <w:pPr>
            <w:pStyle w:val="7"/>
            <w:tabs>
              <w:tab w:val="right" w:leader="dot" w:pos="8630"/>
            </w:tabs>
            <w:ind w:left="880"/>
          </w:pPr>
          <w:r>
            <w:fldChar w:fldCharType="begin"/>
          </w:r>
          <w:r>
            <w:instrText xml:space="preserve"> HYPERLINK \l "_Toc31794" </w:instrText>
          </w:r>
          <w:r>
            <w:fldChar w:fldCharType="separate"/>
          </w:r>
          <w:r>
            <w:rPr>
              <w:lang w:val="en-US"/>
            </w:rPr>
            <w:t xml:space="preserve">2.3.2 </w:t>
          </w:r>
          <w:r>
            <w:rPr>
              <w:rFonts w:hint="eastAsia"/>
              <w:lang w:val="en-US"/>
            </w:rPr>
            <w:t>回退</w:t>
          </w:r>
          <w:r>
            <w:tab/>
          </w:r>
          <w:r>
            <w:fldChar w:fldCharType="begin"/>
          </w:r>
          <w:r>
            <w:instrText xml:space="preserve"> PAGEREF _Toc31794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 w14:paraId="09FD4948">
          <w:pPr>
            <w:pStyle w:val="10"/>
            <w:tabs>
              <w:tab w:val="right" w:leader="dot" w:pos="8630"/>
            </w:tabs>
            <w:ind w:left="440"/>
          </w:pPr>
          <w:r>
            <w:fldChar w:fldCharType="begin"/>
          </w:r>
          <w:r>
            <w:instrText xml:space="preserve"> HYPERLINK \l "_Toc31170" </w:instrText>
          </w:r>
          <w:r>
            <w:fldChar w:fldCharType="separate"/>
          </w:r>
          <w:r>
            <w:t xml:space="preserve">3. </w:t>
          </w:r>
          <w:r>
            <w:rPr>
              <w:rFonts w:hint="eastAsia"/>
              <w:lang w:val="en-US"/>
            </w:rPr>
            <w:t>移动端</w:t>
          </w:r>
          <w:r>
            <w:tab/>
          </w:r>
          <w:r>
            <w:fldChar w:fldCharType="begin"/>
          </w:r>
          <w:r>
            <w:instrText xml:space="preserve"> PAGEREF _Toc31170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fldChar w:fldCharType="end"/>
          </w:r>
        </w:p>
        <w:p w14:paraId="77CE5FFD">
          <w:pPr>
            <w:pStyle w:val="10"/>
            <w:tabs>
              <w:tab w:val="right" w:leader="dot" w:pos="8630"/>
            </w:tabs>
            <w:ind w:left="440" w:firstLine="220" w:firstLineChars="100"/>
          </w:pPr>
          <w:r>
            <w:fldChar w:fldCharType="begin"/>
          </w:r>
          <w:r>
            <w:instrText xml:space="preserve"> HYPERLINK \l "_Toc28055" </w:instrText>
          </w:r>
          <w:r>
            <w:fldChar w:fldCharType="separate"/>
          </w:r>
          <w:r>
            <w:rPr>
              <w:lang w:val="en-US"/>
            </w:rPr>
            <w:t xml:space="preserve">3.1 </w:t>
          </w:r>
          <w:r>
            <w:rPr>
              <w:rFonts w:hint="eastAsia"/>
              <w:lang w:val="en-US"/>
            </w:rPr>
            <w:t>开始办理</w:t>
          </w:r>
          <w:r>
            <w:tab/>
          </w:r>
          <w:r>
            <w:fldChar w:fldCharType="begin"/>
          </w:r>
          <w:r>
            <w:instrText xml:space="preserve"> PAGEREF _Toc28055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fldChar w:fldCharType="end"/>
          </w:r>
        </w:p>
        <w:p w14:paraId="1955D745">
          <w:pPr>
            <w:pStyle w:val="10"/>
            <w:tabs>
              <w:tab w:val="right" w:leader="dot" w:pos="8630"/>
            </w:tabs>
            <w:ind w:left="440" w:firstLine="220" w:firstLineChars="100"/>
          </w:pPr>
          <w:r>
            <w:fldChar w:fldCharType="begin"/>
          </w:r>
          <w:r>
            <w:instrText xml:space="preserve"> HYPERLINK \l "_Toc6972" </w:instrText>
          </w:r>
          <w:r>
            <w:fldChar w:fldCharType="separate"/>
          </w:r>
          <w:r>
            <w:rPr>
              <w:lang w:val="en-US"/>
            </w:rPr>
            <w:t xml:space="preserve">3.2 </w:t>
          </w:r>
          <w:r>
            <w:rPr>
              <w:rFonts w:hint="eastAsia"/>
              <w:lang w:val="en-US"/>
            </w:rPr>
            <w:t>查看详情</w:t>
          </w:r>
          <w:r>
            <w:tab/>
          </w:r>
          <w:r>
            <w:fldChar w:fldCharType="begin"/>
          </w:r>
          <w:r>
            <w:instrText xml:space="preserve"> PAGEREF _Toc6972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fldChar w:fldCharType="end"/>
          </w:r>
        </w:p>
        <w:p w14:paraId="3CFA1C10">
          <w:pPr>
            <w:pStyle w:val="10"/>
            <w:tabs>
              <w:tab w:val="right" w:leader="dot" w:pos="8630"/>
            </w:tabs>
            <w:ind w:left="440" w:firstLine="220" w:firstLineChars="100"/>
          </w:pPr>
          <w:r>
            <w:fldChar w:fldCharType="begin"/>
          </w:r>
          <w:r>
            <w:instrText xml:space="preserve"> HYPERLINK \l "_Toc19153" </w:instrText>
          </w:r>
          <w:r>
            <w:fldChar w:fldCharType="separate"/>
          </w:r>
          <w:r>
            <w:rPr>
              <w:lang w:val="en-US"/>
            </w:rPr>
            <w:t xml:space="preserve">3.3 </w:t>
          </w:r>
          <w:r>
            <w:rPr>
              <w:rFonts w:hint="eastAsia"/>
              <w:lang w:val="en-US"/>
            </w:rPr>
            <w:t>重新办理</w:t>
          </w:r>
          <w:r>
            <w:tab/>
          </w:r>
          <w:r>
            <w:fldChar w:fldCharType="begin"/>
          </w:r>
          <w:r>
            <w:instrText xml:space="preserve"> PAGEREF _Toc19153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fldChar w:fldCharType="end"/>
          </w:r>
        </w:p>
        <w:p w14:paraId="2113390E">
          <w:pPr>
            <w:sectPr>
              <w:pgSz w:w="11910" w:h="16840"/>
              <w:pgMar w:top="1580" w:right="1600" w:bottom="280" w:left="1680" w:header="720" w:footer="720" w:gutter="0"/>
              <w:cols w:space="720" w:num="1"/>
            </w:sectPr>
          </w:pPr>
          <w:r>
            <w:fldChar w:fldCharType="end"/>
          </w:r>
        </w:p>
      </w:sdtContent>
    </w:sdt>
    <w:p w14:paraId="1484BF0C">
      <w:pPr>
        <w:pStyle w:val="6"/>
        <w:spacing w:before="15"/>
        <w:rPr>
          <w:sz w:val="28"/>
        </w:rPr>
      </w:pPr>
    </w:p>
    <w:p w14:paraId="0BB53B41">
      <w:pPr>
        <w:pStyle w:val="2"/>
        <w:numPr>
          <w:ilvl w:val="0"/>
          <w:numId w:val="1"/>
        </w:numPr>
        <w:tabs>
          <w:tab w:val="left" w:pos="696"/>
        </w:tabs>
        <w:ind w:left="120"/>
      </w:pPr>
      <w:bookmarkStart w:id="0" w:name="1.1登录（PC端）"/>
      <w:bookmarkEnd w:id="0"/>
      <w:bookmarkStart w:id="1" w:name="_Toc11058"/>
      <w:r>
        <w:t>登录（PC</w:t>
      </w:r>
      <w:r>
        <w:rPr>
          <w:spacing w:val="-8"/>
        </w:rPr>
        <w:t xml:space="preserve"> 端</w:t>
      </w:r>
      <w:r>
        <w:t>）</w:t>
      </w:r>
      <w:bookmarkEnd w:id="1"/>
    </w:p>
    <w:p w14:paraId="389C0C1C">
      <w:pPr>
        <w:pStyle w:val="15"/>
        <w:tabs>
          <w:tab w:val="left" w:pos="840"/>
        </w:tabs>
        <w:spacing w:before="332"/>
        <w:ind w:left="0" w:firstLine="278" w:firstLineChars="100"/>
        <w:rPr>
          <w:b/>
          <w:sz w:val="28"/>
        </w:rPr>
      </w:pPr>
      <w:bookmarkStart w:id="2" w:name="1.1.1方式一：通过统一门户查看"/>
      <w:bookmarkEnd w:id="2"/>
      <w:bookmarkStart w:id="3" w:name="_bookmark1"/>
      <w:bookmarkEnd w:id="3"/>
      <w:r>
        <w:rPr>
          <w:b/>
          <w:spacing w:val="-1"/>
          <w:sz w:val="28"/>
        </w:rPr>
        <w:t>通过学生工作管理系统</w:t>
      </w:r>
      <w:r>
        <w:rPr>
          <w:rFonts w:hint="eastAsia"/>
          <w:b/>
          <w:spacing w:val="-1"/>
          <w:sz w:val="28"/>
        </w:rPr>
        <w:t>绿色通道</w:t>
      </w:r>
      <w:r>
        <w:rPr>
          <w:b/>
          <w:spacing w:val="-1"/>
          <w:sz w:val="28"/>
        </w:rPr>
        <w:t>模块查看</w:t>
      </w:r>
    </w:p>
    <w:p w14:paraId="5B61494E">
      <w:pPr>
        <w:pStyle w:val="6"/>
        <w:spacing w:before="294" w:line="338" w:lineRule="auto"/>
        <w:ind w:left="120" w:right="180" w:firstLine="480"/>
        <w:jc w:val="both"/>
      </w:pPr>
      <w:r>
        <w:rPr>
          <w:lang w:val="en-US"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1394460</wp:posOffset>
            </wp:positionV>
            <wp:extent cx="5312410" cy="2833370"/>
            <wp:effectExtent l="0" t="0" r="2540" b="5080"/>
            <wp:wrapTopAndBottom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.jpe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2668" cy="28331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打开浏览器在地址栏输入学生工作管理系统</w:t>
      </w:r>
      <w:r>
        <w:rPr>
          <w:rFonts w:hint="eastAsia"/>
        </w:rPr>
        <w:t>绿色通道</w:t>
      </w:r>
      <w:r>
        <w:t>模块访问地址：</w:t>
      </w:r>
      <w:r>
        <w:fldChar w:fldCharType="begin"/>
      </w:r>
      <w:r>
        <w:instrText xml:space="preserve"> HYPERLINK "https://freshman.sysu.edu.cn/lstd" </w:instrText>
      </w:r>
      <w:r>
        <w:fldChar w:fldCharType="separate"/>
      </w:r>
      <w:r>
        <w:rPr>
          <w:rStyle w:val="14"/>
          <w:rFonts w:hint="eastAsia"/>
        </w:rPr>
        <w:t>https://freshman.sysu.edu.cn/lstd</w:t>
      </w:r>
      <w:r>
        <w:rPr>
          <w:rStyle w:val="14"/>
          <w:rFonts w:hint="eastAsia"/>
        </w:rPr>
        <w:fldChar w:fldCharType="end"/>
      </w:r>
      <w:r>
        <w:rPr>
          <w:rFonts w:hint="eastAsia"/>
          <w:color w:val="0000FF"/>
          <w:lang w:val="en-US"/>
        </w:rPr>
        <w:t xml:space="preserve"> </w:t>
      </w:r>
      <w:r>
        <w:t>进入“</w:t>
      </w:r>
      <w:r>
        <w:rPr>
          <w:rFonts w:hint="eastAsia"/>
        </w:rPr>
        <w:t>绿色通道</w:t>
      </w:r>
      <w:r>
        <w:t>模块——权限登录平台界面”，通过 NetID 登录，如图所示。</w:t>
      </w:r>
    </w:p>
    <w:p w14:paraId="681CA98C">
      <w:pPr>
        <w:pStyle w:val="6"/>
        <w:spacing w:before="14"/>
        <w:rPr>
          <w:sz w:val="18"/>
        </w:rPr>
      </w:pPr>
    </w:p>
    <w:p w14:paraId="4ECFB777">
      <w:pPr>
        <w:pStyle w:val="6"/>
        <w:spacing w:before="37" w:line="338" w:lineRule="auto"/>
        <w:ind w:left="120" w:right="105" w:firstLine="480"/>
      </w:pPr>
    </w:p>
    <w:p w14:paraId="4C6C271D">
      <w:pPr>
        <w:spacing w:line="338" w:lineRule="auto"/>
        <w:sectPr>
          <w:pgSz w:w="11910" w:h="16840"/>
          <w:pgMar w:top="1500" w:right="1600" w:bottom="280" w:left="1680" w:header="720" w:footer="720" w:gutter="0"/>
          <w:cols w:space="720" w:num="1"/>
        </w:sectPr>
      </w:pPr>
    </w:p>
    <w:p w14:paraId="5DA8094B">
      <w:pPr>
        <w:pStyle w:val="2"/>
        <w:numPr>
          <w:ilvl w:val="0"/>
          <w:numId w:val="1"/>
        </w:numPr>
        <w:tabs>
          <w:tab w:val="left" w:pos="696"/>
        </w:tabs>
        <w:ind w:left="120"/>
      </w:pPr>
      <w:bookmarkStart w:id="4" w:name="1.1.2方式二：通过学生工作管理系统家庭经济困难学生认定模块查看"/>
      <w:bookmarkEnd w:id="4"/>
      <w:bookmarkStart w:id="5" w:name="1.2辅导员审核"/>
      <w:bookmarkEnd w:id="5"/>
      <w:bookmarkStart w:id="6" w:name="_bookmark2"/>
      <w:bookmarkEnd w:id="6"/>
      <w:bookmarkStart w:id="7" w:name="_Toc3485"/>
      <w:r>
        <w:rPr>
          <w:rFonts w:hint="eastAsia"/>
          <w:lang w:val="en-US"/>
        </w:rPr>
        <w:t>缓交办理</w:t>
      </w:r>
      <w:bookmarkEnd w:id="7"/>
    </w:p>
    <w:p w14:paraId="518860B3">
      <w:pPr>
        <w:ind w:firstLine="420"/>
        <w:rPr>
          <w:lang w:val="en-US"/>
        </w:rPr>
      </w:pPr>
      <w:r>
        <w:rPr>
          <w:rFonts w:hint="eastAsia"/>
          <w:lang w:val="en-US"/>
        </w:rPr>
        <w:t>登陆后进入</w:t>
      </w:r>
      <w:r>
        <w:rPr>
          <w:rFonts w:hint="eastAsia"/>
        </w:rPr>
        <w:t>绿色通道</w:t>
      </w:r>
      <w:r>
        <w:t>模块</w:t>
      </w:r>
      <w:r>
        <w:rPr>
          <w:rFonts w:hint="eastAsia"/>
          <w:lang w:val="en-US"/>
        </w:rPr>
        <w:t>主界面，主界面显示办理“缓交学费”的工作卡片，工作卡片对本次工作进行了简要说明，学生也可下载材料说明进行查看。有办理需求的学生，可点击”开始办理“进入办理页面。</w:t>
      </w:r>
    </w:p>
    <w:p w14:paraId="75420493"/>
    <w:p w14:paraId="2458AEEF">
      <w:pPr>
        <w:jc w:val="center"/>
      </w:pPr>
      <w:r>
        <w:rPr>
          <w:lang w:val="en-US" w:bidi="ar-SA"/>
        </w:rPr>
        <w:drawing>
          <wp:inline distT="0" distB="0" distL="114300" distR="114300">
            <wp:extent cx="5253990" cy="1593850"/>
            <wp:effectExtent l="0" t="0" r="3810" b="635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rcRect r="4003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159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6AF7C">
      <w:pPr>
        <w:pStyle w:val="3"/>
        <w:numPr>
          <w:ilvl w:val="1"/>
          <w:numId w:val="1"/>
        </w:numPr>
        <w:rPr>
          <w:lang w:val="en-US"/>
        </w:rPr>
      </w:pPr>
      <w:bookmarkStart w:id="8" w:name="_Toc30905"/>
      <w:r>
        <w:rPr>
          <w:rFonts w:hint="eastAsia"/>
          <w:lang w:val="en-US"/>
        </w:rPr>
        <w:t>开始办理</w:t>
      </w:r>
      <w:bookmarkEnd w:id="8"/>
    </w:p>
    <w:p w14:paraId="229AD38F">
      <w:pPr>
        <w:ind w:firstLine="420"/>
        <w:rPr>
          <w:lang w:val="en-US"/>
        </w:rPr>
      </w:pPr>
      <w:r>
        <w:rPr>
          <w:rFonts w:hint="eastAsia"/>
          <w:lang w:val="en-US"/>
        </w:rPr>
        <w:t>当点击”开始办理“后，显示如下界面，则表明学费和住宿费用暂未生成</w:t>
      </w:r>
      <w:r>
        <w:rPr>
          <w:rFonts w:hint="eastAsia"/>
          <w:color w:val="494949"/>
          <w:lang w:val="en-US"/>
        </w:rPr>
        <w:t>，暂时无法办理绿色通道服务模块的业务，请稍后查看。</w:t>
      </w:r>
    </w:p>
    <w:p w14:paraId="2A37AC44"/>
    <w:p w14:paraId="1EAC9A3A">
      <w:pPr>
        <w:jc w:val="center"/>
      </w:pPr>
      <w:r>
        <w:rPr>
          <w:lang w:val="en-US" w:bidi="ar-SA"/>
        </w:rPr>
        <w:drawing>
          <wp:inline distT="0" distB="0" distL="114300" distR="114300">
            <wp:extent cx="4625975" cy="2169160"/>
            <wp:effectExtent l="0" t="0" r="3175" b="2540"/>
            <wp:docPr id="2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rcRect r="15487"/>
                    <a:stretch>
                      <a:fillRect/>
                    </a:stretch>
                  </pic:blipFill>
                  <pic:spPr>
                    <a:xfrm>
                      <a:off x="0" y="0"/>
                      <a:ext cx="4625975" cy="216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3A0CD">
      <w:pPr>
        <w:rPr>
          <w:lang w:val="en-US"/>
        </w:rPr>
      </w:pPr>
    </w:p>
    <w:p w14:paraId="7F8977F9">
      <w:pPr>
        <w:ind w:firstLine="420"/>
        <w:rPr>
          <w:lang w:val="en-US"/>
        </w:rPr>
      </w:pPr>
      <w:r>
        <w:rPr>
          <w:rFonts w:hint="eastAsia"/>
          <w:lang w:val="en-US"/>
        </w:rPr>
        <w:t>当点击”开始办理“后，显示如下界面，即可开始进行缓交办理。</w:t>
      </w:r>
    </w:p>
    <w:p w14:paraId="02E1883D">
      <w:pPr>
        <w:ind w:firstLine="420"/>
        <w:jc w:val="center"/>
      </w:pPr>
      <w:r>
        <w:rPr>
          <w:lang w:val="en-US" w:bidi="ar-SA"/>
        </w:rPr>
        <w:drawing>
          <wp:inline distT="0" distB="0" distL="114300" distR="114300">
            <wp:extent cx="4608195" cy="2262505"/>
            <wp:effectExtent l="0" t="0" r="1905" b="4445"/>
            <wp:docPr id="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08195" cy="226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B0C8D">
      <w:pPr>
        <w:ind w:firstLine="420"/>
      </w:pPr>
    </w:p>
    <w:p w14:paraId="0081B550">
      <w:pPr>
        <w:pStyle w:val="11"/>
        <w:widowControl/>
        <w:spacing w:beforeAutospacing="0" w:afterAutospacing="0" w:line="13" w:lineRule="atLeast"/>
        <w:ind w:firstLine="420"/>
      </w:pPr>
      <w:r>
        <w:rPr>
          <w:rFonts w:hint="eastAsia"/>
          <w:color w:val="494949"/>
          <w:sz w:val="22"/>
        </w:rPr>
        <w:t>如已办理生源地信用助学贷款，则须填写相关信息。</w:t>
      </w:r>
    </w:p>
    <w:p w14:paraId="22072CCE">
      <w:pPr>
        <w:pStyle w:val="11"/>
        <w:widowControl/>
        <w:spacing w:beforeAutospacing="0" w:afterAutospacing="0" w:line="13" w:lineRule="atLeast"/>
        <w:jc w:val="center"/>
      </w:pPr>
      <w:r>
        <w:drawing>
          <wp:inline distT="0" distB="0" distL="114300" distR="114300">
            <wp:extent cx="5476240" cy="2365375"/>
            <wp:effectExtent l="0" t="0" r="10160" b="1587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76240" cy="236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118C0">
      <w:pPr>
        <w:pStyle w:val="11"/>
        <w:widowControl/>
        <w:spacing w:beforeAutospacing="0" w:afterAutospacing="0" w:line="13" w:lineRule="atLeast"/>
        <w:rPr>
          <w:color w:val="494949"/>
          <w:sz w:val="22"/>
        </w:rPr>
      </w:pPr>
      <w:r>
        <w:rPr>
          <w:color w:val="494949"/>
          <w:sz w:val="22"/>
        </w:rPr>
        <w:t> </w:t>
      </w:r>
    </w:p>
    <w:p w14:paraId="192FB115">
      <w:pPr>
        <w:pStyle w:val="11"/>
        <w:widowControl/>
        <w:spacing w:beforeAutospacing="0" w:afterAutospacing="0" w:line="13" w:lineRule="atLeast"/>
        <w:ind w:firstLine="420"/>
      </w:pPr>
      <w:bookmarkStart w:id="9" w:name="OLE_LINK1"/>
      <w:r>
        <w:rPr>
          <w:rFonts w:hint="eastAsia"/>
          <w:color w:val="494949"/>
          <w:sz w:val="22"/>
        </w:rPr>
        <w:t>查看缓交办理信息，确认可缓交额度上限，并填写缓交金额。</w:t>
      </w:r>
      <w:bookmarkEnd w:id="9"/>
    </w:p>
    <w:p w14:paraId="409C213F">
      <w:pPr>
        <w:pStyle w:val="11"/>
        <w:widowControl/>
        <w:spacing w:beforeAutospacing="0" w:afterAutospacing="0" w:line="13" w:lineRule="atLeast"/>
        <w:jc w:val="both"/>
      </w:pPr>
      <w:r>
        <w:rPr>
          <w:rFonts w:hint="eastAsia"/>
        </w:rPr>
        <w:drawing>
          <wp:inline distT="0" distB="0" distL="114300" distR="114300">
            <wp:extent cx="5471795" cy="1181100"/>
            <wp:effectExtent l="0" t="0" r="14605" b="0"/>
            <wp:docPr id="17" name="图片 17" descr="316934bd205ad98ea71bb333b58fd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316934bd205ad98ea71bb333b58fdc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7179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5F23E">
      <w:pPr>
        <w:pStyle w:val="11"/>
        <w:widowControl/>
        <w:spacing w:beforeAutospacing="0" w:afterAutospacing="0" w:line="13" w:lineRule="atLeast"/>
        <w:ind w:firstLine="420"/>
        <w:jc w:val="both"/>
      </w:pPr>
      <w:r>
        <w:rPr>
          <w:rFonts w:hint="eastAsia"/>
          <w:color w:val="494949"/>
          <w:sz w:val="22"/>
        </w:rPr>
        <w:t>当所填写的缓交金额超过可缓交额度上限时，请根据提示信息进行再次确认。</w:t>
      </w:r>
    </w:p>
    <w:p w14:paraId="6127B5DB">
      <w:pPr>
        <w:pStyle w:val="11"/>
        <w:widowControl/>
        <w:spacing w:beforeAutospacing="0" w:afterAutospacing="0" w:line="13" w:lineRule="atLeast"/>
        <w:jc w:val="center"/>
        <w:rPr>
          <w:color w:val="494949"/>
          <w:sz w:val="22"/>
        </w:rPr>
      </w:pPr>
      <w:r>
        <w:drawing>
          <wp:inline distT="0" distB="0" distL="114300" distR="114300">
            <wp:extent cx="2395855" cy="1261110"/>
            <wp:effectExtent l="0" t="0" r="4445" b="5715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95855" cy="126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29F7F">
      <w:pPr>
        <w:pStyle w:val="11"/>
        <w:widowControl/>
        <w:spacing w:beforeAutospacing="0" w:afterAutospacing="0" w:line="13" w:lineRule="atLeast"/>
        <w:rPr>
          <w:color w:val="494949"/>
          <w:sz w:val="22"/>
        </w:rPr>
      </w:pPr>
    </w:p>
    <w:p w14:paraId="0C176097">
      <w:pPr>
        <w:ind w:firstLine="420"/>
        <w:rPr>
          <w:color w:val="494949"/>
          <w:lang w:val="en-US"/>
        </w:rPr>
      </w:pPr>
      <w:r>
        <w:rPr>
          <w:rFonts w:hint="eastAsia"/>
          <w:color w:val="494949"/>
          <w:lang w:val="en-US"/>
        </w:rPr>
        <w:t>请根据自身情况填写缓交原因，确认所填写的信息无误后点击“确认”提交办理。</w:t>
      </w:r>
    </w:p>
    <w:p w14:paraId="0FA520F3">
      <w:pPr>
        <w:ind w:firstLine="420"/>
      </w:pPr>
      <w:r>
        <w:rPr>
          <w:lang w:val="en-US" w:bidi="ar-SA"/>
        </w:rPr>
        <w:drawing>
          <wp:inline distT="0" distB="0" distL="114300" distR="114300">
            <wp:extent cx="4709795" cy="2997200"/>
            <wp:effectExtent l="0" t="0" r="5080" b="3175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09795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7674A">
      <w:pPr>
        <w:pStyle w:val="3"/>
        <w:numPr>
          <w:ilvl w:val="1"/>
          <w:numId w:val="1"/>
        </w:numPr>
        <w:rPr>
          <w:lang w:val="en-US"/>
        </w:rPr>
      </w:pPr>
      <w:bookmarkStart w:id="10" w:name="_Toc10747"/>
      <w:r>
        <w:rPr>
          <w:rFonts w:hint="eastAsia"/>
          <w:lang w:val="en-US"/>
        </w:rPr>
        <w:t>查看详情</w:t>
      </w:r>
      <w:bookmarkEnd w:id="10"/>
    </w:p>
    <w:p w14:paraId="7F8DE94A">
      <w:pPr>
        <w:numPr>
          <w:ilvl w:val="2"/>
          <w:numId w:val="1"/>
        </w:numPr>
        <w:outlineLvl w:val="2"/>
        <w:rPr>
          <w:lang w:val="en-US"/>
        </w:rPr>
      </w:pPr>
      <w:bookmarkStart w:id="11" w:name="_Toc360"/>
      <w:r>
        <w:rPr>
          <w:rFonts w:hint="eastAsia"/>
          <w:lang w:val="en-US"/>
        </w:rPr>
        <w:t>审核中</w:t>
      </w:r>
      <w:bookmarkEnd w:id="11"/>
    </w:p>
    <w:p w14:paraId="1EAE4169">
      <w:pPr>
        <w:ind w:firstLine="420"/>
        <w:rPr>
          <w:lang w:val="en-US"/>
        </w:rPr>
      </w:pPr>
      <w:r>
        <w:rPr>
          <w:rFonts w:hint="eastAsia"/>
          <w:lang w:val="en-US"/>
        </w:rPr>
        <w:t>对于审核中的缓交办理，可以点击”查看详情“查看办理进度以及办理详情。</w:t>
      </w:r>
    </w:p>
    <w:p w14:paraId="7622C922">
      <w:r>
        <w:rPr>
          <w:lang w:val="en-US" w:bidi="ar-SA"/>
        </w:rPr>
        <w:drawing>
          <wp:inline distT="0" distB="0" distL="114300" distR="114300">
            <wp:extent cx="5476875" cy="1316355"/>
            <wp:effectExtent l="0" t="0" r="0" b="7620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E8DF9"/>
    <w:p w14:paraId="3FB3CB55">
      <w:r>
        <w:rPr>
          <w:rFonts w:hint="eastAsia"/>
        </w:rPr>
        <w:drawing>
          <wp:inline distT="0" distB="0" distL="114300" distR="114300">
            <wp:extent cx="5479415" cy="1847850"/>
            <wp:effectExtent l="0" t="0" r="6985" b="0"/>
            <wp:docPr id="3" name="图片 3" descr="a621482450a9817cd3d9fff991737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a621482450a9817cd3d9fff991737b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7941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84D99"/>
    <w:p w14:paraId="5FD859BD">
      <w:pPr>
        <w:numPr>
          <w:ilvl w:val="2"/>
          <w:numId w:val="1"/>
        </w:numPr>
        <w:outlineLvl w:val="2"/>
        <w:rPr>
          <w:lang w:val="en-US"/>
        </w:rPr>
      </w:pPr>
      <w:bookmarkStart w:id="12" w:name="_Toc12468"/>
      <w:r>
        <w:rPr>
          <w:rFonts w:hint="eastAsia"/>
          <w:lang w:val="en-US"/>
        </w:rPr>
        <w:t>已通过</w:t>
      </w:r>
      <w:bookmarkEnd w:id="12"/>
    </w:p>
    <w:p w14:paraId="4CED0714">
      <w:pPr>
        <w:ind w:firstLine="420"/>
        <w:outlineLvl w:val="2"/>
        <w:rPr>
          <w:lang w:val="en-US"/>
        </w:rPr>
      </w:pPr>
      <w:bookmarkStart w:id="13" w:name="_Toc28146"/>
      <w:bookmarkStart w:id="14" w:name="_Toc25017"/>
      <w:bookmarkStart w:id="15" w:name="_Toc30495"/>
      <w:bookmarkStart w:id="16" w:name="_Toc23684"/>
      <w:r>
        <w:rPr>
          <w:rFonts w:hint="eastAsia"/>
          <w:lang w:val="en-US"/>
        </w:rPr>
        <w:t>对于已通过的缓交办理，可以点击”查看详情“查看办理详情记录，其中包含了目前的缴费状态和欠费金额。</w:t>
      </w:r>
      <w:bookmarkEnd w:id="13"/>
      <w:bookmarkEnd w:id="14"/>
      <w:bookmarkEnd w:id="15"/>
      <w:bookmarkEnd w:id="16"/>
    </w:p>
    <w:p w14:paraId="6FE94CA4">
      <w:pPr>
        <w:ind w:firstLine="420"/>
        <w:outlineLvl w:val="2"/>
      </w:pPr>
    </w:p>
    <w:p w14:paraId="25F44A9B">
      <w:pPr>
        <w:ind w:firstLine="420"/>
        <w:outlineLvl w:val="2"/>
        <w:rPr>
          <w:lang w:val="en-US"/>
        </w:rPr>
      </w:pPr>
    </w:p>
    <w:p w14:paraId="5CD522F4">
      <w:pPr>
        <w:pStyle w:val="3"/>
        <w:numPr>
          <w:ilvl w:val="1"/>
          <w:numId w:val="1"/>
        </w:numPr>
        <w:rPr>
          <w:lang w:val="en-US"/>
        </w:rPr>
      </w:pPr>
      <w:bookmarkStart w:id="17" w:name="_Toc32630"/>
      <w:r>
        <w:rPr>
          <w:rFonts w:hint="eastAsia"/>
          <w:lang w:val="en-US"/>
        </w:rPr>
        <w:t>重新办理</w:t>
      </w:r>
      <w:bookmarkEnd w:id="17"/>
    </w:p>
    <w:p w14:paraId="3AAEE4AE">
      <w:pPr>
        <w:numPr>
          <w:ilvl w:val="2"/>
          <w:numId w:val="1"/>
        </w:numPr>
        <w:outlineLvl w:val="2"/>
        <w:rPr>
          <w:lang w:val="en-US"/>
        </w:rPr>
      </w:pPr>
      <w:bookmarkStart w:id="18" w:name="_Toc25490"/>
      <w:r>
        <w:rPr>
          <w:rFonts w:hint="eastAsia"/>
          <w:lang w:val="en-US"/>
        </w:rPr>
        <w:t>不通过</w:t>
      </w:r>
      <w:bookmarkEnd w:id="18"/>
    </w:p>
    <w:p w14:paraId="3859DD4D">
      <w:pPr>
        <w:ind w:firstLine="420"/>
        <w:outlineLvl w:val="2"/>
        <w:rPr>
          <w:color w:val="494949"/>
          <w:lang w:val="en-US" w:bidi="ar"/>
        </w:rPr>
      </w:pPr>
      <w:bookmarkStart w:id="19" w:name="_Toc26454"/>
      <w:bookmarkStart w:id="20" w:name="_Toc14797"/>
      <w:bookmarkStart w:id="21" w:name="_Toc28437"/>
      <w:bookmarkStart w:id="22" w:name="_Toc11581"/>
      <w:r>
        <w:rPr>
          <w:rFonts w:hint="eastAsia"/>
          <w:color w:val="494949"/>
          <w:lang w:val="en-US" w:bidi="ar"/>
        </w:rPr>
        <w:t>请及时查看已提交办理的工作审核进度，当审核不通过时，可在办理时间范围内重新办理。</w:t>
      </w:r>
      <w:bookmarkEnd w:id="19"/>
      <w:bookmarkEnd w:id="20"/>
      <w:bookmarkEnd w:id="21"/>
      <w:bookmarkEnd w:id="22"/>
    </w:p>
    <w:p w14:paraId="172BBEE5">
      <w:pPr>
        <w:outlineLvl w:val="2"/>
        <w:rPr>
          <w:lang w:val="en-US"/>
        </w:rPr>
      </w:pPr>
      <w:bookmarkStart w:id="23" w:name="_Toc3258"/>
      <w:r>
        <w:rPr>
          <w:lang w:val="en-US" w:bidi="ar-SA"/>
        </w:rPr>
        <w:drawing>
          <wp:inline distT="0" distB="0" distL="114300" distR="114300">
            <wp:extent cx="5477510" cy="1312545"/>
            <wp:effectExtent l="0" t="0" r="8890" b="1905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77510" cy="131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3"/>
      <w:r>
        <w:rPr>
          <w:rFonts w:hint="eastAsia"/>
          <w:lang w:val="en-US"/>
        </w:rPr>
        <w:drawing>
          <wp:inline distT="0" distB="0" distL="114300" distR="114300">
            <wp:extent cx="5476240" cy="3197225"/>
            <wp:effectExtent l="0" t="0" r="10160" b="3175"/>
            <wp:docPr id="4" name="图片 4" descr="fbb5cb19d9979223ad454c8dec042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bb5cb19d9979223ad454c8dec042c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76240" cy="319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DEF54">
      <w:pPr>
        <w:ind w:firstLine="420"/>
        <w:rPr>
          <w:lang w:val="en-US"/>
        </w:rPr>
      </w:pPr>
      <w:r>
        <w:rPr>
          <w:rFonts w:hint="eastAsia"/>
          <w:lang w:val="en-US"/>
        </w:rPr>
        <w:t>点击”重新办理“，可查看审核人员给予的办理意见，并重新办理。</w:t>
      </w:r>
    </w:p>
    <w:p w14:paraId="6A072701">
      <w:pPr>
        <w:ind w:firstLine="420"/>
        <w:jc w:val="both"/>
      </w:pPr>
      <w:r>
        <w:rPr>
          <w:rFonts w:hint="eastAsia"/>
        </w:rPr>
        <w:drawing>
          <wp:inline distT="0" distB="0" distL="114300" distR="114300">
            <wp:extent cx="5474335" cy="1210310"/>
            <wp:effectExtent l="0" t="0" r="12065" b="8890"/>
            <wp:docPr id="6" name="图片 6" descr="ccd2b87ae873ec2c1e642a1761ea8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cd2b87ae873ec2c1e642a1761ea88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74335" cy="121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811F5">
      <w:pPr>
        <w:numPr>
          <w:ilvl w:val="2"/>
          <w:numId w:val="1"/>
        </w:numPr>
        <w:outlineLvl w:val="2"/>
        <w:rPr>
          <w:lang w:val="en-US"/>
        </w:rPr>
      </w:pPr>
      <w:bookmarkStart w:id="24" w:name="_Toc31794"/>
      <w:r>
        <w:rPr>
          <w:rFonts w:hint="eastAsia"/>
          <w:lang w:val="en-US"/>
        </w:rPr>
        <w:t>回退</w:t>
      </w:r>
      <w:bookmarkEnd w:id="24"/>
    </w:p>
    <w:p w14:paraId="7E389F9E">
      <w:pPr>
        <w:ind w:firstLine="420"/>
        <w:rPr>
          <w:lang w:val="en-US"/>
        </w:rPr>
      </w:pPr>
      <w:r>
        <w:rPr>
          <w:rFonts w:hint="eastAsia"/>
          <w:lang w:val="en-US"/>
        </w:rPr>
        <w:t>当缓交办理被回退时，请在办理时间范围内及时处理，点击”重新办理“即可。</w:t>
      </w:r>
    </w:p>
    <w:p w14:paraId="7CE36761">
      <w:pPr>
        <w:ind w:firstLine="420"/>
      </w:pPr>
      <w:r>
        <w:rPr>
          <w:lang w:val="en-US" w:bidi="ar-SA"/>
        </w:rPr>
        <w:drawing>
          <wp:inline distT="0" distB="0" distL="114300" distR="114300">
            <wp:extent cx="5479415" cy="1326515"/>
            <wp:effectExtent l="0" t="0" r="6985" b="6985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79415" cy="132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4DB40">
      <w:pPr>
        <w:ind w:firstLine="420"/>
        <w:rPr>
          <w:lang w:val="en-US"/>
        </w:rPr>
      </w:pPr>
    </w:p>
    <w:p w14:paraId="74D2FB4B">
      <w:pPr>
        <w:pStyle w:val="2"/>
        <w:numPr>
          <w:ilvl w:val="0"/>
          <w:numId w:val="1"/>
        </w:numPr>
        <w:tabs>
          <w:tab w:val="left" w:pos="696"/>
        </w:tabs>
        <w:ind w:left="120"/>
      </w:pPr>
      <w:bookmarkStart w:id="25" w:name="_Toc31170"/>
      <w:r>
        <w:rPr>
          <w:rFonts w:hint="eastAsia"/>
          <w:lang w:val="en-US"/>
        </w:rPr>
        <w:t>移动端</w:t>
      </w:r>
      <w:bookmarkEnd w:id="25"/>
    </w:p>
    <w:p w14:paraId="0C1E121C">
      <w:pPr>
        <w:ind w:firstLine="440" w:firstLineChars="200"/>
        <w:rPr>
          <w:lang w:val="en-US"/>
        </w:rPr>
      </w:pPr>
      <w:r>
        <w:rPr>
          <w:rFonts w:hint="eastAsia"/>
          <w:lang w:val="en-US"/>
        </w:rPr>
        <w:t>学生通过企业微信工作台，绿色通道的卡片进入工作列表，同PC端一致，选择所需办理的业务。</w:t>
      </w:r>
    </w:p>
    <w:p w14:paraId="7701D045">
      <w:pPr>
        <w:pStyle w:val="3"/>
        <w:numPr>
          <w:ilvl w:val="1"/>
          <w:numId w:val="1"/>
        </w:numPr>
        <w:rPr>
          <w:lang w:val="en-US"/>
        </w:rPr>
      </w:pPr>
      <w:bookmarkStart w:id="26" w:name="_Toc28055"/>
      <w:r>
        <w:rPr>
          <w:rFonts w:hint="eastAsia"/>
          <w:lang w:val="en-US"/>
        </w:rPr>
        <w:t>开始办理</w:t>
      </w:r>
      <w:bookmarkEnd w:id="26"/>
    </w:p>
    <w:p w14:paraId="78898260">
      <w:pPr>
        <w:rPr>
          <w:lang w:val="en-US"/>
        </w:rPr>
      </w:pPr>
      <w:r>
        <w:rPr>
          <w:lang w:val="en-US" w:bidi="ar-SA"/>
        </w:rPr>
        <w:drawing>
          <wp:inline distT="0" distB="0" distL="114300" distR="114300">
            <wp:extent cx="4681855" cy="4230370"/>
            <wp:effectExtent l="0" t="0" r="4445" b="17780"/>
            <wp:docPr id="1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681855" cy="423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B931E">
      <w:pPr>
        <w:pStyle w:val="3"/>
        <w:numPr>
          <w:ilvl w:val="1"/>
          <w:numId w:val="1"/>
        </w:numPr>
        <w:rPr>
          <w:lang w:val="en-US"/>
        </w:rPr>
      </w:pPr>
      <w:bookmarkStart w:id="27" w:name="_Toc6972"/>
      <w:r>
        <w:rPr>
          <w:rFonts w:hint="eastAsia"/>
          <w:lang w:val="en-US"/>
        </w:rPr>
        <w:t>查看详情</w:t>
      </w:r>
      <w:bookmarkEnd w:id="27"/>
    </w:p>
    <w:p w14:paraId="1A34261A">
      <w:pPr>
        <w:rPr>
          <w:lang w:val="en-US"/>
        </w:rPr>
      </w:pPr>
      <w:r>
        <w:rPr>
          <w:rFonts w:hint="eastAsia"/>
          <w:lang w:val="en-US"/>
        </w:rPr>
        <w:drawing>
          <wp:inline distT="0" distB="0" distL="114300" distR="114300">
            <wp:extent cx="5472430" cy="4978400"/>
            <wp:effectExtent l="0" t="0" r="13970" b="12700"/>
            <wp:docPr id="9" name="图片 9" descr="bbee9a0a681f200b66f6bd57663be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bbee9a0a681f200b66f6bd57663bee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7243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F427F">
      <w:pPr>
        <w:pStyle w:val="3"/>
        <w:numPr>
          <w:ilvl w:val="1"/>
          <w:numId w:val="1"/>
        </w:numPr>
        <w:rPr>
          <w:lang w:val="en-US"/>
        </w:rPr>
      </w:pPr>
      <w:bookmarkStart w:id="28" w:name="_Toc19153"/>
      <w:r>
        <w:rPr>
          <w:rFonts w:hint="eastAsia"/>
          <w:lang w:val="en-US"/>
        </w:rPr>
        <w:t>重新办理</w:t>
      </w:r>
      <w:bookmarkEnd w:id="28"/>
    </w:p>
    <w:p w14:paraId="173AC9F1">
      <w:r>
        <w:rPr>
          <w:lang w:val="en-US" w:bidi="ar-SA"/>
        </w:rPr>
        <w:drawing>
          <wp:inline distT="0" distB="0" distL="114300" distR="114300">
            <wp:extent cx="5479415" cy="4232910"/>
            <wp:effectExtent l="0" t="0" r="6985" b="5715"/>
            <wp:docPr id="1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79415" cy="423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7587A">
      <w:pPr>
        <w:ind w:firstLine="420"/>
        <w:jc w:val="both"/>
        <w:rPr>
          <w:lang w:val="en-US"/>
        </w:rPr>
      </w:pPr>
    </w:p>
    <w:sectPr>
      <w:pgSz w:w="11910" w:h="16840"/>
      <w:pgMar w:top="1500" w:right="1600" w:bottom="280" w:left="16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B8633E4"/>
    <w:multiLevelType w:val="multilevel"/>
    <w:tmpl w:val="9B8633E4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 w:tentative="0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 w:tentative="0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 w:tentative="0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 w:tentative="0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 w:tentative="0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 w:tentative="0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hideSpellingErrors/>
  <w:hideGrammaticalErrors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YwZWYzZDM1NmE3M2QyOTNhOGY3MzIwYWRkNzcxNmEifQ=="/>
  </w:docVars>
  <w:rsids>
    <w:rsidRoot w:val="568A0AA6"/>
    <w:rsid w:val="00087542"/>
    <w:rsid w:val="00115E98"/>
    <w:rsid w:val="00195C06"/>
    <w:rsid w:val="001E6AF7"/>
    <w:rsid w:val="002018E9"/>
    <w:rsid w:val="00534489"/>
    <w:rsid w:val="005E4C77"/>
    <w:rsid w:val="00722695"/>
    <w:rsid w:val="008953CF"/>
    <w:rsid w:val="00B13385"/>
    <w:rsid w:val="00D8007C"/>
    <w:rsid w:val="00FA1CA1"/>
    <w:rsid w:val="013169CE"/>
    <w:rsid w:val="13020797"/>
    <w:rsid w:val="1DCC5203"/>
    <w:rsid w:val="2B504C34"/>
    <w:rsid w:val="400F0EC8"/>
    <w:rsid w:val="46922456"/>
    <w:rsid w:val="4AC566A4"/>
    <w:rsid w:val="52731B84"/>
    <w:rsid w:val="536E1A00"/>
    <w:rsid w:val="568A0AA6"/>
    <w:rsid w:val="69575AA9"/>
    <w:rsid w:val="6CD84C29"/>
    <w:rsid w:val="7B462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微软雅黑" w:hAnsi="微软雅黑" w:eastAsia="微软雅黑" w:cs="微软雅黑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696" w:hanging="576"/>
      <w:outlineLvl w:val="0"/>
    </w:pPr>
    <w:rPr>
      <w:b/>
      <w:bCs/>
      <w:sz w:val="32"/>
      <w:szCs w:val="32"/>
    </w:rPr>
  </w:style>
  <w:style w:type="paragraph" w:styleId="3">
    <w:name w:val="heading 5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4"/>
    </w:pPr>
    <w:rPr>
      <w:b/>
      <w:sz w:val="28"/>
    </w:rPr>
  </w:style>
  <w:style w:type="paragraph" w:styleId="4">
    <w:name w:val="heading 8"/>
    <w:basedOn w:val="1"/>
    <w:next w:val="1"/>
    <w:unhideWhenUsed/>
    <w:qFormat/>
    <w:uiPriority w:val="0"/>
    <w:pPr>
      <w:keepNext/>
      <w:keepLines/>
      <w:spacing w:before="240" w:after="64" w:line="317" w:lineRule="auto"/>
      <w:outlineLvl w:val="7"/>
    </w:pPr>
    <w:rPr>
      <w:rFonts w:ascii="Arial" w:hAnsi="Arial" w:eastAsia="黑体"/>
      <w:sz w:val="24"/>
    </w:rPr>
  </w:style>
  <w:style w:type="paragraph" w:styleId="5">
    <w:name w:val="heading 9"/>
    <w:basedOn w:val="1"/>
    <w:next w:val="1"/>
    <w:unhideWhenUsed/>
    <w:qFormat/>
    <w:uiPriority w:val="0"/>
    <w:pPr>
      <w:keepNext/>
      <w:keepLines/>
      <w:spacing w:before="240" w:after="64" w:line="317" w:lineRule="auto"/>
      <w:outlineLvl w:val="8"/>
    </w:pPr>
    <w:rPr>
      <w:rFonts w:ascii="Arial" w:hAnsi="Arial" w:eastAsia="黑体"/>
      <w:sz w:val="21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rPr>
      <w:sz w:val="24"/>
      <w:szCs w:val="24"/>
    </w:rPr>
  </w:style>
  <w:style w:type="paragraph" w:styleId="7">
    <w:name w:val="toc 3"/>
    <w:basedOn w:val="1"/>
    <w:next w:val="1"/>
    <w:qFormat/>
    <w:uiPriority w:val="0"/>
    <w:pPr>
      <w:ind w:left="840" w:leftChars="400"/>
    </w:pPr>
  </w:style>
  <w:style w:type="paragraph" w:styleId="8">
    <w:name w:val="footer"/>
    <w:basedOn w:val="1"/>
    <w:link w:val="17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9">
    <w:name w:val="header"/>
    <w:basedOn w:val="1"/>
    <w:link w:val="1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2"/>
    <w:basedOn w:val="1"/>
    <w:next w:val="1"/>
    <w:qFormat/>
    <w:uiPriority w:val="0"/>
    <w:pPr>
      <w:ind w:left="420" w:leftChars="200"/>
    </w:pPr>
  </w:style>
  <w:style w:type="paragraph" w:styleId="11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  <w:lang w:val="en-US" w:bidi="ar-SA"/>
    </w:rPr>
  </w:style>
  <w:style w:type="character" w:styleId="14">
    <w:name w:val="Hyperlink"/>
    <w:basedOn w:val="13"/>
    <w:qFormat/>
    <w:uiPriority w:val="0"/>
    <w:rPr>
      <w:color w:val="0000FF"/>
      <w:u w:val="single"/>
    </w:rPr>
  </w:style>
  <w:style w:type="paragraph" w:styleId="15">
    <w:name w:val="List Paragraph"/>
    <w:basedOn w:val="1"/>
    <w:qFormat/>
    <w:uiPriority w:val="1"/>
    <w:pPr>
      <w:ind w:left="984" w:hanging="864"/>
    </w:pPr>
  </w:style>
  <w:style w:type="character" w:customStyle="1" w:styleId="16">
    <w:name w:val="页眉 字符"/>
    <w:basedOn w:val="13"/>
    <w:link w:val="9"/>
    <w:qFormat/>
    <w:uiPriority w:val="0"/>
    <w:rPr>
      <w:rFonts w:ascii="微软雅黑" w:hAnsi="微软雅黑" w:eastAsia="微软雅黑" w:cs="微软雅黑"/>
      <w:sz w:val="18"/>
      <w:szCs w:val="18"/>
      <w:lang w:val="zh-CN" w:bidi="zh-CN"/>
    </w:rPr>
  </w:style>
  <w:style w:type="character" w:customStyle="1" w:styleId="17">
    <w:name w:val="页脚 字符"/>
    <w:basedOn w:val="13"/>
    <w:link w:val="8"/>
    <w:uiPriority w:val="0"/>
    <w:rPr>
      <w:rFonts w:ascii="微软雅黑" w:hAnsi="微软雅黑" w:eastAsia="微软雅黑" w:cs="微软雅黑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numbering" Target="numbering.xml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10</Pages>
  <Words>755</Words>
  <Characters>840</Characters>
  <Lines>12</Lines>
  <Paragraphs>3</Paragraphs>
  <TotalTime>1</TotalTime>
  <ScaleCrop>false</ScaleCrop>
  <LinksUpToDate>false</LinksUpToDate>
  <CharactersWithSpaces>899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2023-08-10T08:26:00Z</dcterms:created>
  <dc:creator>yoki</dc:creator>
  <cp:lastModifiedBy>whoknowme21</cp:lastModifiedBy>
  <dcterms:modified xsi:type="dcterms:W3CDTF">2025-08-15T03:35:53Z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D31D621A8ADC4CA5B339C0F56888E135_13</vt:lpwstr>
  </property>
  <property fmtid="{D5CDD505-2E9C-101B-9397-08002B2CF9AE}" pid="3" name="KSOProductBuildVer">
    <vt:lpwstr>2052-12.1.0.21915</vt:lpwstr>
  </property>
</Properties>
</file>